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36.2001.110 vom 21. Mai 2002</w:t>
      </w:r>
    </w:p>
    <w:p>
      <w:r>
        <w:t>TI Tribunale d'appello, 2002-05-21, IT</w:t>
      </w:r>
    </w:p>
    <w:p>
      <w:r>
        <w:rPr>
          <w:b/>
        </w:rPr>
        <w:t xml:space="preserve">Quelle: </w:t>
      </w:r>
      <w:r>
        <w:t>https://mcp.opencaselaw.ch/entscheid/ti_gerichte_36.2001.110</w:t>
      </w:r>
    </w:p>
    <w:p>
      <w:r>
        <w:t>FR: TI_GERICHTE 36.2001.110 du 21 mai 2002</w:t>
      </w:r>
    </w:p>
    <w:p>
      <w:r>
        <w:t>IT: TI_GERICHTE 36.2001.110 del 21 maggio 2002</w:t>
      </w:r>
    </w:p>
    <w:p>
      <w:pPr>
        <w:pStyle w:val="Heading2"/>
      </w:pPr>
      <w:r>
        <w:t>Regeste</w:t>
      </w:r>
    </w:p>
    <w:p>
      <w:r>
        <w:t>Sentenza o decisione senza scheda</w:t>
      </w:r>
    </w:p>
    <w:p>
      <w:pPr>
        <w:pStyle w:val="Heading2"/>
      </w:pPr>
      <w:r>
        <w:t>Erwägungen</w:t>
      </w:r>
    </w:p>
    <w:p>
      <w:r>
        <w:rPr>
          <w:b/>
        </w:rPr>
        <w:t>E. 1</w:t>
      </w:r>
    </w:p>
    <w:p>
      <w:r>
        <w:t>Die Schadenmeldungen sind von der __________ unverzüglich an die __________ weiterzuleiten, Todesfälle sind umgehend, spätestens innert 48 Stunden, telegraphisch oder telefonisch zu melden.</w:t>
      </w:r>
    </w:p>
    <w:p>
      <w:r>
        <w:rPr>
          <w:b/>
        </w:rPr>
        <w:t>E. 2</w:t>
      </w:r>
    </w:p>
    <w:p>
      <w:r>
        <w:t>Die Schadenmeldung hat nach folgendem Prinzip zu erfolgen: Mit der entsprechenden Schadenanzeige ist der __________ durch die __________ eine Kopie des Versicherungsausweises einzureichen, aus welcher die Versicherungssumme sowie der Versicherungsbeginn ersichtlich sind.</w:t>
      </w:r>
    </w:p>
    <w:p>
      <w:r>
        <w:rPr>
          <w:b/>
        </w:rPr>
        <w:t>E. 3</w:t>
      </w:r>
    </w:p>
    <w:p>
      <w:r>
        <w:t>La Cour a établi que si la police cave régissant les rapports entre les parties doit être considérée comme une coassurance tacite, elle reprend les termes de l'assurance de base et les incorpore par un simple renvoi, c'est-à-dire qu'elle suit le contrat principal dans ses renouvellements tacites. La coassurance tacite doit se qualifier de réassurance au sens large en ce sens qu'à l'insu du preneur originel (…) l'un des assureurs principaux (…) reporte une partie du risque qu'il assume, en vertu de la coassurance expresse, sur une autre société d'assurance (…). (…) Contrairement à ce qu'ont cru pouvoir dire les autorités cantonales, il n'y a pas d'antinomie entre les mots "police cave" et l'expression "par voie de la réassurance". Les deux termes manifestent que la convention ne crée aucun droit ni aucune obligation entre le preneur originaire Nussbaumer et le réassureur la Nationale. Le contrat passé entre les parties le 27 mai 1966, concernant la répartition d'un risque assumé par la Northern en faveur de Firestone, et partiellemnt réassuré par la Nothern auprès de la Nationale (dont la Cour ne parle pas, mais dont elle retient implicitement l'existence dans la mesure où elle se réfère à l'entier des constatations de première instance qui en fait état), a les mêmes caractéristiques que la convention ici en cause. Il comporte aussi les termes de police cave d'où l'on doit déduire, selon les constatations de fait, que le preneur originel n'en avait pas connaissance, ce qui est une des caractéristiques de la réassurance au sens large. (…)" Nel caso di specie, a mente del TCA, va escluso che l'accordo tra la __________ e l'__________ sia un contratto di riassicurazione, rilevato come l'assicurato, tramite le CGA, era a conoscenza della circostanza che assicuratore delle prestazioni per la quali chiede il pagamento è la __________. Inoltre, la __________ assicura tutto il danno, mentre in caso di riassicurazione, generalmente, il riassicuratore si assume solo parte del rischio, rimanendo il resto a carico dell'assicuratore originale (cfr. DTF 107 II 196 supra). Inoltre, il riassicuratore segue la sorte dell'assicuratore diretto, nel senso che spetta a quest'ultimo regolare il caso con l'assicurato in caso di sinistro senza che il riassicuratore possa partecipare alle discussioni (cfr. DTF 107 II 196). In concreto la __________ è intervenuta direttamente proponendo all'assicurato il pagamento di fr. 13'200 a tacitazione di qualsiasi ulteriore pretesa. Vi sono per contro, come già detto, delle analogie con la "coassicurazione", nel senso che l'__________ agisce quale tramite tra l'assicurato e la __________ per quel che concerne le trattative e la conclusione del contratto, la ricezione delle notifiche in caso di infortunio, l'incasso dei premi, mentre assicuratore e debitore delle prestazioni in caso di morte ed invalidità è la __________ (cfr. Nebel, op. cit., pag. 282). Secondo la dottrina le caratteristiche della coassicurazione sono infatti le seguenti: "Bei der Aushandlung und Abwicklung von Mitversicherungsverträgen kommt dem führenden Versicherer eine Leitfunktion zu. Er setzt die Prämien und Vertragsbedingungen fest und übernimmt zumeist die Risikobeurteilung und Schadenregulierung. Kehrseite dieser exponierten Stellung sind gewisse Haftungsrisiken gegenüber den Mitversicherern. Der führende Versicherer ist erster Ansprechpartner des Versicheungsnehmers. Bei der Wahl des führenden Versicheres spielt dessen Reputation im Markt eine wichtige Rolle. In der Erstversicherung ist es üblich, dass die Mitversicherer dem führenden Versicherer für dessen Aufwand eine Führungsprovision entrichten." (Nebel, op. cit., pag. 282) Circa la conclusione del contratto da parte dell'assicuratore, in nome del coassicuratore la dottrina rammenta che in tal caso valgono le norme relative alla rappresentazione (Nebel, op. cit., pag. 286). Circa la responsabilità invece: "Die Mitversicherer werden gegenüber dem Versicherungsnehmer nur für ihre vertraglich vereinbarte Quote verpflichtet. Sie sind Teilschuldner und nicht Solidarschuldner." (Nebel, op. cit., pag. 288) A mente del TCA, per i motivi sopra esposti, nel caso di specie l'__________ ha agito quale rappresentante della __________ (circostanza che poteva già apparire più chiaramente nella polizza d'assicurazione), __________ che risponde del verificarsi dei rischi figuranti nelle CGA ed oggetto della petizione in esame. L'__________ non è invece debitrice dell'importo chiesto dall'assicurato. Ne discende l'irricevibilità della petizione. In queste circostanze diventano prive di oggetto le richieste di assunzione di ulteriori prove per la determinazione del grado d'invalidità dell'insorgente e la congiunzione dell'istruttoria con l'incarto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