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36.2000.78 vom 25. September 2000</w:t>
      </w:r>
    </w:p>
    <w:p>
      <w:r>
        <w:t>TI Tribunale d'appello, 2000-09-25, IT</w:t>
      </w:r>
    </w:p>
    <w:p>
      <w:r>
        <w:rPr>
          <w:b/>
        </w:rPr>
        <w:t xml:space="preserve">Quelle: </w:t>
      </w:r>
      <w:r>
        <w:t>https://mcp.opencaselaw.ch/entscheid/ti_gerichte_36.2000.78</w:t>
      </w:r>
    </w:p>
    <w:p>
      <w:r>
        <w:t>FR: TI_GERICHTE 36.2000.78 du 25 septembre 2000</w:t>
      </w:r>
    </w:p>
    <w:p>
      <w:r>
        <w:t>IT: TI_GERICHTE 36.2000.78 del 25 settembre 2000</w:t>
      </w:r>
    </w:p>
    <w:p>
      <w:pPr>
        <w:pStyle w:val="Heading2"/>
      </w:pPr>
      <w:r>
        <w:t>Regeste</w:t>
      </w:r>
    </w:p>
    <w:p>
      <w:r>
        <w:t>Sentenza o decisione senza scheda</w:t>
      </w:r>
    </w:p>
    <w:p>
      <w:pPr>
        <w:pStyle w:val="Heading2"/>
      </w:pPr>
      <w:r>
        <w:t>Erwägungen</w:t>
      </w:r>
    </w:p>
    <w:p>
      <w:r>
        <w:rPr>
          <w:b/>
        </w:rPr>
        <w:t>E. 14</w:t>
      </w:r>
    </w:p>
    <w:p>
      <w:r>
        <w:t>giorni prima dell'inizio della cura. Ciò significa che la cassa malati si riservava il diritto di esaminare, entro quel termine, se la cura, risp. la degenza, veniva accettata. In difetto di risposta, tale clausola non poteva , e non può, interpretarsi diversamente che con il "silenzio-assenso". Questa tesi non è condivisibile (cfr. giurisprudenza succitata). Il termine di 14 giorni posto dagli articoli citati indica, in realtà, che tale lasso di tempo è in ogni caso necessario per la verifica di una richiesta d'autorizzazione. Non che, decorsi i 14 giorni, l'assicurato può ritenere di avere ricevuto l'autorizzazione. La questione non è, comunque, rilevante poiché gli assicurati non hanno rispettato tale termine: non è infatti contestato che la __________ ha ricevuto la loro richiesta (indirizzata dagli assicurati alla __________) soltanto a cura già iniziata. Gli attori hanno affermato che: " la domanda di prestazioni non poteva che essere inoltrata all'__________. Il certificato d'assicurazione era stato rilasciato da tale compagnia. Non vi era alcun rapporto contrattuale diretto tra gli attori e la __________. Anche i premi assicurativi sono incassati direttamente dall'__________ …" (V) Ora, se è vero che il certificato d'assicurazione è stato emesso effettivamente dall'__________ (con la denominazione "attestato delle cuote" sic!), è anche vero che in tale attestazione è indicato chiaramente con una nota che le assicurazioni __________ e __________ sono assicurate dalla __________. Ed altrettanto chiaramente le Condizioni generali d'assicurazione e le condizioni complementari relative a tali assicurazioni - di cui gli attori sono in possesso - indicano chiaramente che l'assicuratore cui sono legati è la __________ e non l'__________. Altrettanto chiaramente gli art 12 CC__________ e 10 CC__________ precisano che la cura balneare deve essere autorizzata dalla __________ e non dall'__________ (cpv. 1) e che la richiesta d'autorizzazione deve essere inoltrata alla __________ e non alla __________ (art 10 cpv. 3 CC__________ e art 12 cpv. 3 CC__________). In queste condizioni, le petizioni vanno respinte senza che sia necessario esaminare se la cura balneare era effettivamente necessaria ai sensi dell'art 7 CGA.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