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36.2000.141 vom 20. November 2000</w:t>
      </w:r>
    </w:p>
    <w:p>
      <w:r>
        <w:t>TI Tribunale d'appello, 2000-11-20, IT</w:t>
      </w:r>
    </w:p>
    <w:p>
      <w:r>
        <w:rPr>
          <w:b/>
        </w:rPr>
        <w:t xml:space="preserve">Quelle: </w:t>
      </w:r>
      <w:r>
        <w:t>https://mcp.opencaselaw.ch/entscheid/ti_gerichte_36.2000.141</w:t>
      </w:r>
    </w:p>
    <w:p>
      <w:r>
        <w:t>FR: TI_GERICHTE 36.2000.141 du 20 novembre 2000</w:t>
      </w:r>
    </w:p>
    <w:p>
      <w:r>
        <w:t>IT: TI_GERICHTE 36.2000.141 del 20 novembre 2000</w:t>
      </w:r>
    </w:p>
    <w:p>
      <w:pPr>
        <w:pStyle w:val="Heading2"/>
      </w:pPr>
      <w:r>
        <w:t>Regeste</w:t>
      </w:r>
    </w:p>
    <w:p>
      <w:r>
        <w:t>Sentenza o decisione senza scheda</w:t>
      </w:r>
    </w:p>
    <w:p>
      <w:pPr>
        <w:pStyle w:val="Heading2"/>
      </w:pPr>
      <w:r>
        <w:t>Erwägungen</w:t>
      </w:r>
    </w:p>
    <w:p>
      <w:r>
        <w:rPr>
          <w:b/>
        </w:rPr>
        <w:t>E. 1</w:t>
      </w:r>
    </w:p>
    <w:p>
      <w:r>
        <w:t>Le prestazioni di cui agli articoli 25-31 devono essere efficaci, appropriate ed economiche. L’efficacia deve essere comprovata secondo metodi scientifici.</w:t>
      </w:r>
    </w:p>
    <w:p>
      <w:r>
        <w:rPr>
          <w:b/>
        </w:rPr>
        <w:t>E. 2</w:t>
      </w:r>
    </w:p>
    <w:p>
      <w:r>
        <w:t>Se un assicurato si reca nel reparto dell'ospedale corrispondente alla classe di prestazioni assicurata, la __________ prende a suo carico tutte le spese non coperte dall'assicurazione obbligatoria delle cure medico-sanitarie giusta la LAMal e dall'assicurazione malattie facoltative per il trattamento e il soggiorno economici, adeguati ed efficaci. Sono esclusi dell'obbligo di prestazioni i punti: - Art. E1 capoverso 2; - conversazioni telefoniche; - affitto di radio, televisori e video; - acquisto e affitto di videocassette; - bibite e snacks; - giornali e riviste; - prodotti per fumatori; - cibi consumati da visitatori; - pratiche in caso di decesso; - spese amministrative. (…)" (cfr. Doc. __, pag. 58) Dal tenore della disposizione risulta che i presupposti per l'assunzione dei costi per la cura stazionaria in ambiente ospedaliero da parte della convenuta in base alle assicurazioni complementari corrispondono a quelli previsti dall'assicurazione malattia obbligatoria secondo la LAMal. Dev'essere cioè data la necessità di ospedalizzazione; il trattamento e il soggiorno devono inoltre essere economici, adeguati ed efficaci (cfr. consid. 2.3-2.6). Poiché quindi in ambito LAMal questa Corte ha riconosciuto la necessità della cura stazionaria in ambiente ospedaliero, le medesime conclusioni devono essere tratte per quanto riguarda l'assicurazione complementare in esame. Oltre ad assumere i costi in ambito LAMal, la __________ dovrà quindi rimborsare quelli dovuti in base alle condizioni complementari di assicurazione (E; XV) per la degenza ospedaliera in reparto semiprivato. Il gravame nella misura in cui è inteso quale petizione in ambito LCA, dev'essere quindi accolto. Ritenuto come l'attore sia vincente anche per quanto attiene alle pretese fondate sulle assicurazioni complementari allo stesso vanno concesse ripetibili in questa sede. Il dispendio temporale per salvaguardare i suoi interesse appare indubbio. Nel concetto di ripetibili va anche considerata un'equa indennità per chi in causa non si avvale di un patrocinatore professionista, già per compensare il dispendio di tempo. Non va poi dimenticato che, con riferimento alle assicurazioni complementari, la Cassa resistente non opera nella sua qualità di amministrazione ed il caso demandato al TCA è di puro diritto civile pur con connotazioni di diritto della assicurazioni sociali. La giurisprudenza cantonale sviluppata in quest'ambito riconosce a chi si difende da solo in causa (ed anche all'avvocato che patrocina una causa propria) il diritto ad un'equa indennità (I CCA 5.8.1998 in re F. c/X.). Nella fattispecie appare giustificato fissare l'indennità a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