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36.2000.134 vom 17. Oktober 2000</w:t>
      </w:r>
    </w:p>
    <w:p>
      <w:r>
        <w:t>TI Tribunale d'appello, 2000-10-17, IT</w:t>
      </w:r>
    </w:p>
    <w:p>
      <w:r>
        <w:rPr>
          <w:b/>
        </w:rPr>
        <w:t xml:space="preserve">Quelle: </w:t>
      </w:r>
      <w:r>
        <w:t>https://mcp.opencaselaw.ch/entscheid/ti_gerichte_36.2000.134_d20001017</w:t>
      </w:r>
    </w:p>
    <w:p>
      <w:r>
        <w:t>FR: TI_GERICHTE 36.2000.134 du 17 octobre 2000</w:t>
      </w:r>
    </w:p>
    <w:p>
      <w:r>
        <w:t>IT: TI_GERICHTE 36.2000.134 del 17 ottobre 2000</w:t>
      </w:r>
    </w:p>
    <w:p>
      <w:pPr>
        <w:pStyle w:val="Heading2"/>
      </w:pPr>
      <w:r>
        <w:t>Regeste</w:t>
      </w:r>
    </w:p>
    <w:p>
      <w:r>
        <w:t>Sentenza o decisione senza scheda</w:t>
      </w:r>
    </w:p>
    <w:p>
      <w:pPr>
        <w:pStyle w:val="Heading2"/>
      </w:pPr>
      <w:r>
        <w:t>Erwägungen</w:t>
      </w:r>
    </w:p>
    <w:p>
      <w:r>
        <w:rPr>
          <w:b/>
        </w:rPr>
        <w:t>E. 3</w:t>
      </w:r>
    </w:p>
    <w:p>
      <w:r>
        <w:t>(…)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In una sentenza del 26 luglio 2000 nella causa L. N., il TCA ha, quindi, rinviato gli atti all'UAI e ordinato all'amministrazione di stabilire il reddito da invalido sulla base dei criteri da esso posti. In una recente sentenza del 4 settembre 2000 nella causa N.R., questa Corte ha fornito le seguenti ulteriori precisazioni: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 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 salaires des femmes et des hommes". Ora, dalle citate tabelle figura che nel Canton Ticino per il 1998 il salario mediano di una donna esercitante attività semplici e ripetitive era di fr. 2683.-- al mese nel settore pubblico e privato (TA13), mentre invece nel settore privato il salario ammontava a fr. 2672.-- mensili (TA14). (A livello nazionale esso era invece di fr. 3505.--, TA1). Infine, va ancora ricordato che i salari risultanti dalle statistiche devono essere elevati per tenere conto di una durata media del lavoro di 41,9 ore e non di 40 ore (cfr. Pratique VSI 2000 pag. 85: " Il convient cependant de relever que ce salaire standardisé se base généralement sur une durée de travail de 40 heures par semaine, ce qui est inférieur à l'horaire habituel moyen de travail de 41,9 heures dans les entreprises en 1996 (L'économie publique, 1999 n° 8, annexe p. 27, Tableau B 9.2). Pour un horaire de travail hebdomadaire de 41,9 heures, le salaire se monte ainsi à 4498 francs par mois ou à 53976 francs par année (Fr. 4498.-- x 12") e , se del caso, adattati al rincaro (cfr. STFA del 9 maggio 2000 nella causa I. consid. 7a). Questo porterebbe, nel 1998, il salario ipotetico conseguibile in attività leggera adeguata esercitata a tempo pieno e prima di eventuali riduzioni per motivi particolari, che possono arrivare al massimo al 25% (cfr. DTF 124 V 323: Pratique VSI 2000 pag. 85 e, soprattutto, sentenza del</w:t>
      </w:r>
    </w:p>
    <w:p>
      <w:r>
        <w:rPr>
          <w:b/>
        </w:rPr>
        <w:t>E. 9</w:t>
      </w:r>
    </w:p>
    <w:p>
      <w:r>
        <w:t>maggio 2000 nella causa A. (I 482/99), in fr. 45'390.-- (rispettivamente fr. 47'929.--) per gli uomini e in fr. 33'587.-- (rispettivamente: fr. 33'725.--) per le donne" (STCA succitata). 2.9.   Ritornando al caso di specie, conformemente alla più recente giurisprudenza federale in materia di reddito da invalido, occorre, dunque, basarsi sui dati statistici e, concretamente, sull'inchiesta svizzera sulla struttura dei salari 1998 (l'ultima edizione disponibile), edita dall'Ufficio federale di statistica. Secondo questo studio, un uomo, esercitando nel 1998 un'attività semplice e ripetitiva in Ticino, avrebbe potuto realizzare, mediamente, un salario mensile lordo pari a fr. 3'611.-(rispettivamente fr. 3'813.--, a seconda che si consideri o meno il settore pubblico), quindi, riportandolo su 41.9 ore, fr. 3'783.--(rispettivamente fr. 3'994.--). Su base annua, si raggiunge, pertanto, un reddito di fr. 45'396.-- (rispettivamente di fr. 47'928.--). Quest'ultimo importo si riferisce, come detto, all'anno 1998. Determinante, in concreto, è invece l'anno 2000 (cfr., ad esempio, DTF 121 V 366, in cui il TFA ha ricordato che decisiva è la situazione fattuale esistente al momento in cui è stata emanata l'impugnata decisione). Secondo quanto la Corte federale ha indicato nella sentenza 9 maggio 2000 in re A., consid. 7a, il suddetto valore andrebbe, quindi, adeguato all'indice dei salari nominali (" Nominallohnindex ") dal 1998 sino al 2000. Il TCA, da parte sua, ritiene di poter rinunciare all'adeguamento, nella misura in cui ciò non potrebbe comunque mutare l'esito della procedura ora sub judice. Il TFA raccomanda, in seguito, di esaminare le circostanze specifiche del caso concreto (limitazione addebitabile al danno alla salute, età, anni di servizio, nazionalità e tipo di permesso di dimora, grado d'occupazione, cfr. STFA 30.6.2000 succitata) e, se del caso, procedere ad una riduzione percentuale del salario statistico medio. La riduzione massima consentita dalla giurisprudenza ammonta al 25%, percentuale che consente "… di tener conto delle varie particolarità che possono influire sul reddito del lavoro" (cfr. STFA 30.6.2000 e STFA 9.5.2000 succitate). In casu , questa Corte può tranquillamente esimersi dall'esaminare più da vicino quest'ultimo aspetto, nella misura in cui - anche se si dovesse ritenere, per pura ipotesi di lavoro, la riduzione massima del 25% - il ricorrente non potrebbe beneficiare d'ulteriori prestazioni al di là di quelle già riconosciutegli dalla __________. 2.10.   Quale reddito che l'assicurato avrebbe potuto conseguire nel 2000, se non fosse intervenuto il danno alla salute, la Cassa convenuta ha considerato l'importo di fr. 42'009.75, dato rimasto assolutamente incontestato. Confrontando tale reddito con quello ancora teoricamente esigibile secondo i principi esposti nei considerandi precedenti - fr. 34'047.-- (reddito da invalido realizzabile, nel 1998, dall'assicurato nel settore privato [ipotesi a lui più favorevole], tenuto conto della riduzione massima del 25%) - il danno residuo è del 19% circa, quindi inferiore a quanto richiesto perché sia dato il diritto ad indennità (25%). La cassa convenuta ha concesso all'insorgente un termine d'adattamento di 4 mesi (cfr. doc. _). Visto quanto sopra, tale termine é conforme a quanto stabilito dalla giurisprudenza. A contare dal 24 dicembre 2000, __________ non ha, pertanto, più diritto a prestazioni da parte dell'__________.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