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35.2025.63 vom 19. August 2024</w:t>
      </w:r>
    </w:p>
    <w:p>
      <w:r>
        <w:t>TI Tribunale d'appello, 2024-08-19, IT</w:t>
      </w:r>
    </w:p>
    <w:p>
      <w:r>
        <w:rPr>
          <w:b/>
        </w:rPr>
        <w:t xml:space="preserve">Quelle: </w:t>
      </w:r>
      <w:r>
        <w:t>https://mcp.opencaselaw.ch/entscheid/ti_gerichte_35.2025.63_d20240819</w:t>
      </w:r>
    </w:p>
    <w:p>
      <w:r>
        <w:t>FR: TI_GERICHTE 35.2025.63 du 19 août 2024</w:t>
      </w:r>
    </w:p>
    <w:p>
      <w:r>
        <w:t>IT: TI_GERICHTE 35.2025.63 del 19 agosto 2024</w:t>
      </w:r>
    </w:p>
    <w:p>
      <w:pPr>
        <w:pStyle w:val="Heading2"/>
      </w:pPr>
      <w:r>
        <w:t>Regeste</w:t>
      </w:r>
    </w:p>
    <w:p>
      <w:r>
        <w:t>Corretta l'entità dell'IMI assegnata all'assicurato</w:t>
      </w:r>
    </w:p>
    <w:p>
      <w:pPr>
        <w:pStyle w:val="Heading2"/>
      </w:pPr>
      <w:r>
        <w:t>Erwägungen</w:t>
      </w:r>
    </w:p>
    <w:p>
      <w:r>
        <w:rPr>
          <w:b/>
        </w:rPr>
        <w:t>E. 36</w:t>
      </w:r>
    </w:p>
    <w:p>
      <w:r>
        <w:t>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Ghélew/Ramelet/Ritter, Commentaire de la loi sur l'assurance-accidents, Losanna 1992, p. 121). 2.4.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 ss.). Tuttavia, nella misura in cui esprimono unicamente valori indicativi, miranti a garantire la parità di trattamento di tutti gli assicurati, esse sono compatibili con l'annesso 3 all'OAINF (RAMI 1987 U 21, p. 329; DTF 113 V 219, consid. 2b; DTF 116 V 157, consid. 3a). Per quanto qui d’interesse, la tabella Suva n. 1 (“ Menomazione dell'integrità da alterazioni funzionali degli arti superiori ”) elenca le alterazioni funzionali (ad esempio di spalla, gomito, avambraccio, mano, …), in particolare le paralisi nervose degli arti superiori, indicando per ognuna i tassi di menomazione corrispondenti. Da parte sua, la tabella Suva n. 3 (“ Menomazione dell’integrità per perdita semplice o combinata di dita, mano, braccio (valida sia per il lato dominante sia per quello adominante) ”) stabilisce i tassi di menomazione in funzione dei segmenti persi degli arti superiori, quindi dalla perdita di una falange di un dito fino alla perdita dell’intero arto superiore, indicando il relativo tasso di menomazione corrispondente. 2.6.  Nella concreta evenienza, con la decisione impugnata, l’CO 1, facendo capo alle relative valutazioni enunciate dai propri medici fiduciari, ha assegnato all’assicurato un’IMI del 10%. Con apprezzamento del 23 febbraio 2024 la dr.ssa __________, specialista in chirurgia generale e traumatologia, si è, infatti, espressa nei seguenti termini: " 1. Befund Persistierende chronische Stumpfschmerzen sowie Bewegungseinschränkung Dig. III linke dominante Hand bei Zustand nach Rissquetschtrauma mit Amputation Endphalanx Dig. III Hand links vom 02.02.2021. Seither sind fünf Eingriffe erfolgt, letztmals wurde am 12.06.2023 eine Neuromexzision ulnopalmarer und radiopalmarer Digitalnerv Dig. III mit Nervenrückkürzung sowie offene Karpaltunnelspaltung links durchgeführt. 2 Schätzung des Integritätsschadens 5% 3 Begründung Gemäss Suva Tabelle 3.2 wäre gemäss Abbildung 8 entsprechend dem Befund beim Versicherten keine Integritätsentschädigung geschuldet. Aufgrund der persistierenden deutlichen Bewegungseinschränkung und der chronischen Schmerzhaftigkeit des Stumpfes wird dem Versicherten analog Abbildung 9 trotzdem eine Integritätsentschädigung in Höhe von 5% zugesprochen.” (Doc. 284) Dato che con messaggio di posta elettronica del 12 marzo 2024, l’assicurato ha fatto valere come i problemi da egli accusati non concernano unicamente il dito, bensì l’intera mano, la quale dopo cinque interventi chirurgici presenta una funzionalità compromessa (cfr. doc. 302), l’amministrazione ha ritenuto opportuno richiedere una valutazione neurologica. Con apprezzamento medico del 19 marzo 2024, il dr. __________, specialista in neurologia, ha rilevato: " I. Medizinische Beurteilung vom 18.03.2024 1 Befund Verwiesen wird auf die versicherungsmedizinisch-chirurgische Stellungnahme vom 21.02.2024 mit Beurteilung des Integritätsschadens von 5% bei der aufgrund chronischer Schmerzen im Dig. III Iinke dominante Hand bei Zustand nach Rissquetschtrauma mit Amputation Endphalanx Dig. III Hand links vom 02.02.2021. Seither sind fünf Eingriffe erfolgt, letztmals wurde am 12.06.2023 eine Neuromexzision ulnopalmarer und radiopalmarer Digitalnerv Dig. III mit Nervenrückkürzung sowie offene Karpaltunnelspaltung links durchgefiìhrt und es lagen weiterhin Stumpfschmerzen und eine Bewegungseinschränkung vor. Eine neurologische Untersuchung steht im Dossier nicht zur Verfügung. 2 Schätzung des Integritätsschadens Gesamthaft 10%. 3 Begründung Bei Berücksichtigung von neurologisch-versicherungsärztlicher Seite chirurgischer Eingriffe im Bereich des Nervus medianus mit entsprechend dokumentierter Bewegungseinschränkung, vergleichbar mit einer Medianusschädigung, für die in der Tab. 1 der Suva ein Integritätsschaden von 15% zu schätzen ist, besteht neurologisch-versicherungsärztlich, ausgehend von einer partiellen Medianussymptomatik einschliesslich Sensibilitätsstörung im Rahmen eines neuropathischen Schmerzsyndroms und bei Bewegungseinschränkung, entsprechend vergleichbar einer paretischen Schädigung, eine partielle Nervus medianus-Symptomatik, für die aufgrund der Teilsymptomatik ein Integritätsschaden von 10% zu schätzen ist. Bei bereits von chirurgisch-versicherungsärztlicher Seite geschätzten 5% ergeben sich nunmem zusätzliche 5% von neurologisch-versicherungsärztlicher Seite, sodass insgesamt 10% zu schätzen sind.” (Doc. 313) La dr.ssa __________, con osservazioni del 19 marzo 2024, ha confermato le conclusioni sopraesposte (cfr. doc. 316). A fronte delle reiterate obiezioni sollevate dall’interessato, con apprezzamento medico del 24 luglio 2024 il dr. med. univ. __________, specialista in medicina generale, ha espresso le seguenti considerazioni: " Grund der Vorlage/Beurteilung Neuerliche Vorlage der Administration nach Telefonat des Versicherten, in welchem dieser nach einer Teilamputation des Endglieds des III. Fingers mit Neuromrevisionen und grosszügiger Zusprache eines Integritätsschadens von 10% nunmehr eine Integritätsentschädigung von 40% analog zu einem kompletten Handverlust fordert. Der Versicherte zog sich am 02.02.2021 eine Teilamputation des Endglieds des linken Mittelfingers zu. In weiterer Folge wurden Revisionsoperationen wegen Neurombildungen notwendig. Bezüglich der durchgeführten Amputation würde dem Versicherten kein entschädigungspflichtiger Integritätsschaden zustehen. Aufgrund der Beschwerdesymptomatik mit Bewegungseinschränkung (welche sich durch die Amputation nicht erklären Iässt), wurde am 23.02.2024 von Frau Dr. med. __________ der Integritätsschaden grosszügig auf 5% eingeschätzt, welcher grundsätzIich erst bei Amputation des Mittel- und Endglieds zustehen würde. Auf Intervention des Versicherten wurde von neurologsicher Seite der Integritätsschaden am 19.03.2024 grosszügig auf 10% erhöht. Die nunmehrige Forderung des Versicherten, den Integritätsschaden mit 40% analog dem kompletten Verlust der gesamten linken Hand zu beurteilen, entbehrt jeder nachvollziehbaren Grundlage. An der grosszügigen Einschätzung des Integritätsschadens mit 10% ist unverändert festzuhalten.” (Doc. 361) In sede di opposizione l’assicurato ha ancora una volta contestato la percentuale di IMI del 10% riconosciutagli, ritenendola troppo bassa e non adeguata ai problemi di funzionalità che interessano l’intera mano. Egli ha chiesto di poter essere visitato personalmente (cfr. doc. 375), producendo a supporto di tale richiesta il referto del 1° ottobre 2024 dell’Ospedale __________ (cfr. doc. 378). Da tale certificato emerge quanto segue: " (…) Procedere Es zeigt sich eine unver ä nderte Situation zur Vorkonsultation vom 25.06.2024. Zwischenzeitlich hat der Patient mit Unterst ü tzung der IV eine Umschulung auf eine administrative T ä tigkeit durchf ü hren k ö nnen. Bez ü glich der unver ä ndert fortbestehenden Einschr ä nkungen der Hand besprechen wir nochmals, dass durch chirurgische Massnahmen keine Verbesserung der Situation zu erwarten ist. Der Patient stellt sich aber heute prim ä r bei uns vor, weil er sich an der Festlegung der lntegrit ä tsentsch ä digung ohne k ö rperliche Untersuchung durch einen Versicherungsmediziner der CO 1 st ö rt, entsprechend bitten wir freundlich die Versicherung um einen aufgeboten des Patienten f ü r eine entsprechende Untersuchung vor Ort zur abschliessenden Beurteilung der Integrit ä tsentsch ä digung. Unsererseits planen wir keine weiteren Konsultationen.” (Doc. 378) Nella decisione su opposizione impugnata l’amministrazione ha confermato la correttezza della valutazione operata dal proprio servizio medico sulla base dell’intera documentazione agli atti, e in applicazione delle pertinenti tabelle SUVA (doc. II/1). In corso di causa, l’assicurato ha nuovamente contestato l’entità dell’IMI che gli è stata assegnata, ritenendo di avere diritto ad un’IMI almeno del 40% per tenere conto del danno interessante l’intera mano, e non solo un dito (doc. IV). 2.7.  Chiamato a pronunciarsi su una questione di natura squisitamente medica, questo Tribunale non vede motivi per discostarsi dalla valutazione della menomazione dell’integrità enunciata dalla dr.__________ e dal dr. __________, poi condivisa anche dal dr. __________, specialisti proprio nella materia che qui interessa. In effetti, come opportunamente riassunto dal dr. __________ (cfr. doc. 361) e come del resto indicato dalla dr.ssa __________ (cfr. doc. 284), l'amputazione della falange distale del dito medio sinistro subita dall’assicurato il 2 febbraio 2021 non dà diritto ad indennizzo alcuno (cfr. figura 8 della tabella 3 [“ Atteinte à l’intégrité résultant de la perte d’un ou plusieurs segments des membres supérieurs ”] edita dalla Divisione __________ dell’CO 1 e la Tabella delle menomazioni dell’integrità di cui all’Allegato 3 all’OAINF) . Un’IMI del 5% viene, difatti, corrisposta in caso di amputazione delle falangi media e distale di un dito (cfr. figura 9 della tabella 3 sopracitata). Tuttavia, nel caso dell’assicurato, un indennizzo del 10% - che a mente del dr. __________ appare “generoso” – è stato riconosciuto in ragione dei successivi interventi di revisione che si sono resi necessari a causa della formazione di un neuroma e tenuto conto dei disturbi sensoriali alla mano nel contesto di una sindrome dolorosa neuropatica e con limitazione del movimento. Così infatti ha giustificato l’attribuzione di un 5% la dr.ssa __________ (per tenere conto del dolore cronico e della limitazione del movimento). Ragionamento poi condiviso dal dr. __________, il quale ha ritenuto di paragonare la situazione dell’assicurato a quella di una paralisi parziale del nervo mediano (cfr. tabella 01 “Menomazione dell'integrità da alterazioni funzionali degli arti superiori” edita dalla Divisione __________ dell’CO 1), ritenendo di portare l’IMI riconosciuta al 10%, anziché al 5% indicato dalla dr.ssa __________ (cfr. doc. 313). Il TCA non ha motivo per distanziarsi da queste accurate e ben motivate valutazioni fornite dagli specialisti medico-fiduciari, le quali, del resto, non risultano smentite o messe in dubbio da altre certificazioni specialistiche agli atti. Contrariamente a quanto sembrerebbe sostenere l’assicurato, difatti, i referti dell'Ospedale __________ del 1° ottobre 2024 (cfr. doc. 378) e dell'8 luglio 2024 (cfr. doc. 355), nonché quello della clinica __________ del 7 giugno 2024 (cfr. doc. 342), non non si esprimomo riguardo all’IMI. Gli stessi, inoltre, non attestano che la mano sinistra abbia perso completamente la sua funzionalità. Quanto poi alla richiesta dell’insorgente di essere posto al beneficio di un’IMI almeno del 40%, questo Tribunale rileva che, effettivamente, come ricordato dal dr. __________ (cfr. doc. 361), un tale valore viene riconosciuto in caso di perdita totale della mano (cfr. figura 43 della Tabella 3 dell’INSAI citata in precedenza e Tabella delle menomazioni dell’integrità di cui all’Allegato 3 all’OAINF ), ciò che non corrisponde al caso dell’assicurato . Il ricorrente non può, infine, essere seguito nemmeno laddove rimprovera ai medici fiduciari dell’amministrazione di non aver proceduto ad una visita personale. In effetti, per costante giurisprudenza, anche a un rapporto elaborato da un medico interno all’amministrazione basandosi sui soli atti, può essere attribuito pieno valore probatorio (cfr. DTF 125 V 352 consid. 3b/ee e la STF 8C_173/2018 del 24 maggio 2018 consid. 3.2). Nel caso concreto, come visto, gli specialisti fiduciari hanno avuto a loro disposizione l’integralità della documentazione disponibile, dalla quale emerge chiaramente la natura della menomazione riportata dall’assicurato. Non presta pertanto il fianco a critiche il fatto che essi abbiano rinunciato a visitare l’assicurato. In conclusione, la decisione su opposizione impugnata va, quindi, confermata e il ricorso respinto.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