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35.2025.44 vom 21. August 2025</w:t>
      </w:r>
    </w:p>
    <w:p>
      <w:r>
        <w:t>TI Tribunale d'appello, 2025-08-21, IT</w:t>
      </w:r>
    </w:p>
    <w:p>
      <w:r>
        <w:rPr>
          <w:b/>
        </w:rPr>
        <w:t xml:space="preserve">Quelle: </w:t>
      </w:r>
      <w:r>
        <w:t>https://mcp.opencaselaw.ch/entscheid/ti_gerichte_35.2025.44</w:t>
      </w:r>
    </w:p>
    <w:p>
      <w:r>
        <w:t>FR: TI_GERICHTE 35.2025.44 du 21 août 2025</w:t>
      </w:r>
    </w:p>
    <w:p>
      <w:r>
        <w:t>IT: TI_GERICHTE 35.2025.44 del 21 agosto 2025</w:t>
      </w:r>
    </w:p>
    <w:p>
      <w:pPr>
        <w:pStyle w:val="Heading2"/>
      </w:pPr>
      <w:r>
        <w:t>Regeste</w:t>
      </w:r>
    </w:p>
    <w:p>
      <w:r>
        <w:t>Discussa la questione di sapere se i disturbi alla spalla dx erano ancora conseguenza naturale dell'infortunio (status quo sine vel ante raggiunto?). Rinvio atti per complemento istruttorio</w:t>
      </w:r>
    </w:p>
    <w:p>
      <w:pPr>
        <w:pStyle w:val="Heading2"/>
      </w:pPr>
      <w:r>
        <w:t>Erwägungen</w:t>
      </w:r>
    </w:p>
    <w:p>
      <w:r>
        <w:rPr>
          <w:b/>
        </w:rPr>
        <w:t>E. 26</w:t>
      </w:r>
    </w:p>
    <w:p>
      <w:r>
        <w:t>ottobre 1999. Vedi pure: STF 9C_807/2014 del 9 settembre 2015; STF 9C_585/2014 dell’8 settembre 2015). nel merito 2.2.  In concreto, è litigiosa la questione di sapere se l’CO 1 era legittimata a porre fine dal 31 gennaio 2025 alle proprie prestazioni dipendenti dall’infortunio occorso all’assicurata nel maggio 2024, oppure no.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2.4.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A norma dell’art. 6 cpv. 3 LAINF, l’assicurazione effettua inoltre le prestazioni per lesioni causate all’infortunato durante la cura medica (art. 10). Secondo la giurisprudenza, l’assicurazione contro gli infortuni risponde di ogni lesione provocata dalla cura (trattamento medico) successiva a infortuni assicurati, senza che l’atto lesivo rientri nella nozione di infortunio o sia dovuto a un errore medico o lesione corporale penalmente perseguibile (DTF 118 V 286 consid. 3b). L’assicuratore risponde tuttavia soltanto per quei danni che si trovano in nesso causale naturale e adeguato con cure mediche o misure d’accertamento rese necessarie dall’infortunio assicurato (DTF 128 V 169 consid. 1c e riferimenti ivi menzionati; per un caso in cui il TF ha negato l’applicabilità dell’art. 6 cpv. 3 LAINF in quanto il trattamento medico in questione - un’infiltrazione radioguidata – aveva avuto luogo allorquando era già stato raggiunto lo status quo sine a margine dell’infortunio assicurato, si veda la STF 8C_755/2018 dell’11 febbraio 2019 consid. 4.3). 2.6.  Nel caso di specie, dalla decisione su opposizione impugnata si evince che l’assicuratore ha dichiarato estinto dal</w:t>
      </w:r>
    </w:p>
    <w:p>
      <w:r>
        <w:rPr>
          <w:b/>
        </w:rPr>
        <w:t>E. 31</w:t>
      </w:r>
    </w:p>
    <w:p>
      <w:r>
        <w:t>gennaio 2025, ritenendo che a quel momento l’insorgente avrebbe raggiunto lo status quo sine a margine dell’infortunio del maggio 2024. Preliminarmente, va rilevato che, non essendo la decisione impugnata fondata su una perizia esterna (cfr. supra , consid. 2.6.), può trovare applicazione la giurisprudenza di cui alla DTF 135 V 465, secondo la quale dei lievi dubbi circa l’affidabilità di un rapporto medico bastano per potersene discostare (cfr. supra , consid. 2.7.). Ora, ai referti del dott. __________, sui quali si fonda la decisione su opposizione in esame, non può essere riconosciuto un valore probatorio sufficiente per concludere, con la necessaria tranquillità, che l’evento traumatico assicurato avrebbe peggiorato soltanto transitoriamente un (preteso) stato preesistente (morboso) della spalla destra. Infatti, sulla questione di sapere quale ruolo causale ha giocato il sinistro assicurato, aspetto di natura squisitamente medica, agli atti figura documentazione medica il cui contenuto è atto a generare dei dubbi, perlomeno lievi, circa la correttezza della valutazione su cui l’amministrazione ha fondato la propria posizione (per dei casi, riguardanti proprio l’eziologia di disturbi interessanti la spalla della persona assicurata, in cui la Corte federale ha rinviato gli atti a fronte della discordanza dei pareri espressi dagli specialisti intervenuti, si vedano le sentenze 8C_410/2022 del 23 dicembre 2022 consid. 7.3; 8C_731/2021 del 26 agosto 2022 consid. 4.4; 8C_445/2021 del 14 gennaio 2022 consid. 4.4; 8C_673/2020 del 25 giugno 2021 consid. 4.5; 8C_637/2020 del 4 marzo 2021 consid. 5.1 e 5.2). Il TCA constata che il dott. __________ nega che le lesioni alla spalla destra oggettivate dalla RMN del 1° luglio 2024 e intraoperativamente, siano state causate dalla caduta dalle scale di cui è rimasta vittima l’assicurata, come pure che quell’evento abbia provocato un peggioramento direzionale del preesistente stato (morboso) della spalla destra. Conseguentemente, egli nega pure che la re-rottura del tendine del sovraspinato possa essere imputata all’infortunio assicurato. Di parere diverso è il medico specialista curante, Prof. dott. __________, per il quale non vi è dubbio che la re-rottura costituirebbe invece una conseguenza naturale dell’infortunio del maggio 2024 (cfr. allegato al doc. 108), sottintendendo con ciò che anche la rottura della cuffia dei rotatori, oggetto dell’intervento artroscopico da lui eseguito, sarebbe stata causata da quel sinistro. D’altro canto, a proposito della pretesa preesistenza di uno stato morboso della spalla destra, dalle tavole processuali si evince che l’assicuratore resistente ha assunto il caso iniziale, e pure l’intervento artroscopico eseguito il 28 agosto 2024, facendo capo al parere del dott. __________, spec. FMH in medicina interna generale. Con apprezzamento del 22 agosto 2024, il medico fiduciario appena citato ha osservato che la RMN del 1° luglio 2024 aveva mostrato la rottura completa del tendine del sovraspinato. A suo avviso - e diversamente da quanto poi ritenuto dal dott. __________ -, una retrazione di circa 3 cm è ancora compatibile con un’eziologia traumatica, tenuto conto che tra la caduta dalle scale (28 maggio 2024) e la risonanza magnetica (1° luglio 2024) era trascorso oltre un mese. Sempre diversamente dal suo collega medico fiduciario, il dott. __________ ha rilevato che non è stata refertata né un’artrofia né una infiltrazione adiposa del muscolo, elementi che, qualora fossero stati presenti, avrebbero parlato a favore di una rottura inveterata (in effetti, la presenza di tali reperti non è segnalata né nel referto relativo alla RMN del luglio 2024 [cfr. allegato al doc. 46], né del resto in quello afferente all’artroscopia [cfr. allegato al doc. 50]). Egli è quindi pervenuto alla conclusione che la riparazione della cuffia dei rotatori si trovava in una relazione di causalità naturale con l’infortunio assicurato (allegato al doc. 24: “Das geplante Rotatoren Manschetten Repair ist mE somit kausal mit og Unfall kausal verknüpft.”). In presenza di valutazioni mediche divergenti,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le STF 8C_445/2021 succitata consid. 3.3 e 8C_247/2018 del 1° aprile 2019 consid. 6.2.2). Da notare inoltre, a proposito dell’affermazione del dott. __________ secondo la quale una contusione della spalla non sarebbe atta a causare una rottura della cuffia rotatoria della spalla , che in una sentenza 8C_672/2020 del 15 aprile 2021, pubblicata in SVR 10/2021 UV n. 34, riguardante il caso di un assicurato che aveva riportato un trauma contusivo alla spalla destra, presentando, in seguito, una lesione della cuffia dei rotatori, il Tribunale federale ha preso atto del fatto che la questione di sapere se e in che modo un trauma contusivo è atto a innescare o a causare una lesione dei tendini della cuffia dei rotatori è controversa in letteratura e ha pertanto precisato la propria giurisprudenza, nel senso che occorre esaminare ogni singolo caso specifico, senza dare un peso eccessivo alla dinamica, ma considerando piuttosto globalmente le specifiche peculiarità del caso concreto (cfr., in particolare, il consid. 4.1.3 della citata pronunzia; cfr. pure la STCA 35.2023.12 del 24 aprile 2023 consid. 2.8.).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STCA 35.2024.26 del 30 settembre 2023 consid. 2.13.; 35.2024.73 del 27 gennaio 2025 consid. 2.5.5.).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2.8.,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se i disturbi denunciati dall’assicurata alla spalla destra a far tempo dal 31 gennaio 2025 sono esclusivamente di natura morbosa oppure se essi sono, almeno in parte, ancora imputabili all’infortunio del 28 maggio 2024 . In seguito, facendo capo alle risultanze dell’accertamento esperito, l’amministrazione si pronuncerà di nuovo in merito al diritto a prestazioni dal profilo temporale e materiale. 2.10. Considerato l’esito del ricorso (il rinvio con esito aperto equivale a piena vittoria, cfr., da ultimo, STF 8C_859/2018 del 26 novembre 2018 consid. 5 con rinvio a DTF 137 V 210 consid. 7.1 p. 271 e riferimento), l’assicuratore verserà all’insorgente, rappresentata da un avvocato, l’importo fr. 2’500 (IVA inclusa) a titolo d’indennità per ripetibili, ciò che rende priva di oggetto la domanda di assistenza giudiziaria (cfr. DTF 124 V 309 consid. 6 e, tra le tante, STF 9C_274/2014 del 30 settembre 2014 consid. 5; 9C_335/2011 del 14 marzo 2012 consid. 5; 9C_206/2011 del 16 agosto 2011 consid. 5; 9C_352/2010 del 30 agosto 2010 consid. 3).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