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35.2025.41 vom 18. August 2025</w:t>
      </w:r>
    </w:p>
    <w:p>
      <w:r>
        <w:t>TI Tribunale d'appello, 2025-08-18, IT</w:t>
      </w:r>
    </w:p>
    <w:p>
      <w:r>
        <w:rPr>
          <w:b/>
        </w:rPr>
        <w:t xml:space="preserve">Quelle: </w:t>
      </w:r>
      <w:r>
        <w:t>https://mcp.opencaselaw.ch/entscheid/ti_gerichte_35.2025.41</w:t>
      </w:r>
    </w:p>
    <w:p>
      <w:r>
        <w:t>FR: TI_GERICHTE 35.2025.41 du 18 août 2025</w:t>
      </w:r>
    </w:p>
    <w:p>
      <w:r>
        <w:t>IT: TI_GERICHTE 35.2025.41 del 18 agosto 2025</w:t>
      </w:r>
    </w:p>
    <w:p>
      <w:pPr>
        <w:pStyle w:val="Heading2"/>
      </w:pPr>
      <w:r>
        <w:t>Regeste</w:t>
      </w:r>
    </w:p>
    <w:p>
      <w:r>
        <w:t>Discussa eziologia disturbi alla spalla sx. Rinvio atti per complemento istruttorio</w:t>
      </w:r>
    </w:p>
    <w:p>
      <w:pPr>
        <w:pStyle w:val="Heading2"/>
      </w:pPr>
      <w:r>
        <w:t>Erwägungen</w:t>
      </w:r>
    </w:p>
    <w:p>
      <w:r>
        <w:rPr>
          <w:b/>
        </w:rPr>
        <w:t>E. 26</w:t>
      </w:r>
    </w:p>
    <w:p>
      <w:r>
        <w:t>ottobre 1999. Vedi pure: STF 9C_807/2014 del 9 settembre 2015; STF 9C_585/2014 dell’8 settembre 2015). nel merito 2.2.  In concreto, è litigiosa la questione di sapere se l’istituto convenuto era legittimato a porre fine dal 28 gennaio 2025 alle proprie prestazioni dipendenti dall’infortunio occorso all’assicurato nel settembre 2024, oppure no.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(RAMI 2000 U 363, p. 46 consid. 2 e riferimenti ivi citati). 2.4.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2.5.  Nel caso di specie, dalla decisione su opposizione impugnata si evince che l’assicuratore ha dichiarato estinto dal</w:t>
      </w:r>
    </w:p>
    <w:p>
      <w:r>
        <w:rPr>
          <w:b/>
        </w:rPr>
        <w:t>E. 28</w:t>
      </w:r>
    </w:p>
    <w:p>
      <w:r>
        <w:t>gennaio 2025, ritenendo che a quel momento l’insorgente avrebbe raggiunto lo status quo sine a margine dell’infortunio del settembre 2024. Preliminarmente, va rilevato che, non essendo la decisione impugnata fondata su una perizia esterna (cfr. supra , consid. 2.5.), può trovare applicazione la giurisprudenza di cui alla DTF 135 V 465, secondo la quale dei lievi dubbi circa l’affidabilità di un rapporto medico bastano per potersene discostare (cfr. supra , consid. 2.6.). Ora, ai referti del dott. __________, sui quali si fonda la decisione su opposizione in esame, non può essere riconosciuto un valore probatorio sufficiente per concludere, con la necessaria tranquillità, che l’evento traumatico assicurato avrebbe peggiorato soltanto transitoriamente un (preteso) stato preesistente (morboso) della spalla sinistra. Infatti, come è già stato messo in evidenza al considerando 2.5., sulla questione di sapere quale ruolo causale ha giocato il sinistro assicurato, aspetto di natura squisitamente medica, agli atti figurano rapporti medici, specificatamente quelli allestiti dagli specialisti consultati da RI 1, il cui contenuto è atto a generare dei dubbi, perlomeno lievi, circa la correttezza della valutazione su cui l’amministrazione ha fondato la propria posizione (per dei casi, riguardanti proprio l’eziologia di disturbi interessanti la spalla della persona assicurata, in cui la Corte federale ha rinviato gli atti a fronte della discordanza dei pareri espressi dagli specialisti intervenuti, si vedano le sentenze 8C_410/2022 del 23 dicembre 2022 consid. 7.3; 8C_731/2021 del 26 agosto 2022 consid. 4.4; 8C_445/2021 del 14 gennaio 2022 consid. 4.4; 8C_673/2020 del 25 giugno 2021 consid. 4.5; 8C_637/2020 del 4 marzo 2021 consid. 5.1 e 5.2). In questo senso, va evidenziato, a proposito della pretesa preesistenza di uno stato morboso della spalla sinistra, che i medici curanti dell’assicurato non ne hanno rilevato la presenza né all’artro-RMN del 15 ottobre 2024 né, soprattutto, in occasione dell’intervento artroscopico del 27 novembre 2024. In particolare, essi hanno esplicitamente negato l’esistenza di un’ipotrofia e di una degenerazione adiposa dei muscoli interessati (su quest’ultimo aspetto, il PD __________ si è contraddetto, in quanto nel suo apprezzamento del 4 aprile 2025 ha dichiarato di concordare che non si è in presenza di un’involuzione adiposa, mentre in quello del 21 luglio 2025 ha fatto accenno all’esistenza di una “leggera involuzione grassosa del tessuto circonferenziale”). Dal rapporto operatorio, così come dal referto relativo all’artro-RMN, non risulta nemmeno che siano state refertate delle cisti. Inoltre, contrariamente a quanto preteso dal fiduciario dell’CO 1 (cfr. doc. IX 1), i dottori __________ e __________ hanno preso posizione a proposito del significato da attribuire al tessuto fibrotico rinvenuto nella regione d’inserimento del sovraspinato, sostenendo che esso è ancora compatibile con una lesione di natura traumatica, tenuto conto del tempo che necessita per formarsi (cfr. doc. V2). Infine, pur tenendo presente che, in ossequio a una costante giurisprudenza federale, la regola del “ post hoc ergo propter hoc ” (dopo questo, dunque a causa di questo) non ha valenza scientifica (su questo aspetto, cfr. STF 8C_530/2024 del 22 maggio 2025), il TCA, analogamente ai curanti specialisti, ritiene sia lecito perlomeno chiedersi come il ricorrente abbia potuto esercitare normalmente la propria professione di montatore elettricista, un’attività manuale che notoriamente sollecita gli arti superiori (cfr. doc. 24, p. 2), se già, prima dell’infortunio, era presente un rilevante danno alla spalla sinistra, quale quello refertato intraoperativamente (cfr., in questo senso, la STF 8C_401/2019 del 9 giugno 2020 consid. 5.3.2). In presenza di valutazioni mediche divergenti,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DTF 135 V 465 e le STF 8C_445/2021 succitata consid. 3.3 e 8C_247/2018 del 1° aprile 2019 consid. 6.2.2). La pronunzia federale citata nella risposta di causa (STF 8C_485/2014 del 24 giugno 2015), non consente di giungere a una diversa soluzione, e ciò già per il motivo che, in quella fattispecie, la preesistenza di uno stato morboso asintomatico della spalla, nella forma di una tendinopatia calcifica della cuffia dei rotatori, risultava ammessa da più specialisti. A proposito del gomito sinistro , va constatato che con la propria impugnativa il rappresentante dell’assicurato si è limitato a dichiarare che “se è vero che allo stato attuale non duole più, non può più essere steso completamente” (doc. I, p. 10), senza produrre documentazione medica atta a dimostrare la persistenza di disturbi di rilievo. Pertanto, questo Tribunale non ha motivi per mettere in discussione il parere del dott. __________, secondo cui quella parte del corpo è guarita trascorsi al massimo due mesi dalla contusione, e ciò anche alla luce del tenore del referto 3 novembre 2024 del dott. __________, Capoclinica presso il Servizio di ortopedia e traumatologia dell’__________ (doc. 12: “Visto il quadro clinico e strumentale spiego al paziente, data anche la sintomatologia in risoluzione rispetto alle settimane scorse, non avendo ancora iniziato la fisioterapia, che progressivamente vi dovrebbe essere un recupero completo.”). 2.8.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e la STCA 35.2024.12 del 10 giugno 2024, consid. 2.6).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(cfr. pure la STCA 35.2024.26 del</w:t>
      </w:r>
    </w:p>
    <w:p>
      <w:r>
        <w:rPr>
          <w:b/>
        </w:rPr>
        <w:t>E. 30</w:t>
      </w:r>
    </w:p>
    <w:p>
      <w:r>
        <w:t>settembre 2023 consid. 2.13.; 35.2024.73 del 27 gennaio 2025 consid. 2.5.5.).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 Per le ragioni già esposte al considerando 2.7., si giustifica pertanto l’annullamento della decisione su opposizione impugnata e il rinvio degli atti all’assicuratore resistente affinché disponga un approfondimento peritale esterno (art. 44 LPGA), volto a chiarire, tenendo conto di tutti i fattori medicalmente determinanti (cfr. STF 8C_445/2021 succitata), se i disturbi denunciati dall’assicurato alla spalla sinistra a far tempo dal 28 gennaio 2025 sono esclusivamente di natura morbosa oppure se essi sono, almeno in parte, ancora imputabili all’infortunio del 27 settembre 2024. In seguito, facendo capo alle risultanze dell’accertamento esperito, l’amministrazione si pronuncerà di nuovo in merito al diritto a prestazioni dal profilo temporale e materiale. 2.9.  Visto l’esito del ricorso (il rinvio con esito aperto equivale a piena vittoria, cfr., da ultimo, STF 8C_859/2018 del 26 novembre 2018 consid. 5 con rinvio a DTF 137 V 210 consid. 7.1 p. 271 e riferimento), l’CO 1 verserà all’insorgente, rappresentato da un avvocato, l’importo fr. 2'500 (IVA inclusa) a titolo d’indennità per ripetibili.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