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35.2025.18 vom 10. September 2025</w:t>
      </w:r>
    </w:p>
    <w:p>
      <w:r>
        <w:t>TI Tribunale d'appello, 2025-09-10, IT</w:t>
      </w:r>
    </w:p>
    <w:p>
      <w:r>
        <w:rPr>
          <w:b/>
        </w:rPr>
        <w:t xml:space="preserve">Quelle: </w:t>
      </w:r>
      <w:r>
        <w:t>https://mcp.opencaselaw.ch/entscheid/ti_gerichte_35.2025.18</w:t>
      </w:r>
    </w:p>
    <w:p>
      <w:r>
        <w:t>FR: TI_GERICHTE 35.2025.18 du 10 septembre 2025</w:t>
      </w:r>
    </w:p>
    <w:p>
      <w:r>
        <w:t>IT: TI_GERICHTE 35.2025.18 del 10 settembre 2025</w:t>
      </w:r>
    </w:p>
    <w:p>
      <w:pPr>
        <w:pStyle w:val="Heading2"/>
      </w:pPr>
      <w:r>
        <w:t>Regeste</w:t>
      </w:r>
    </w:p>
    <w:p>
      <w:r>
        <w:t>Discussi il diritto alla rendita d'invalidità e l'entità dell'IMI. Per quanto riguarda la rendita, rinvio atti per accertare capacità/esigibilità lavorativa (complemento perizia amministrativa circa il ruolo dei medicamenti oppioidi assunti dall'assicurato)</w:t>
      </w:r>
    </w:p>
    <w:p>
      <w:pPr>
        <w:pStyle w:val="Heading2"/>
      </w:pPr>
      <w:r>
        <w:t>Erwägungen</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In concreto, è litigiosa la questione di sapere se l’CO 1 era legittimato a negare all’assicurato il diritto a una rendita d’invalidità e a quantificare nel 15% la menomazione dell’integrità di cui è portatore, oppure no. Il TCA constata che il patrocinatore giustamente non contesta la stabilizzazione dello stato di salute infortunistico dell’insorgente a far tempo dal dicembre 2024. Del resto, interpellato dall’amministrazione a proposito dell’ulteriore procedere terapeutico, con rapporto del 13 giugno 2024, il dott. __________, Medico aggiunto presso il Servizio di ortopedia e traumatologia dell’Ospedale __________, ha sostenuto che “…, vista la condizione anatomo patologica dei tessuti della spalla destra e le sue condizioni cliniche, al momento non vi sono possibilità di miglioramento con trattamenti conservativi o chirurgici.” (doc. 340). 2.3. Diritto alla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2.3.3.  Nel caso di specie, dalle carte processuali emerge che, dopo aver chiarito l’aspetto eziologico del danno alla spalla destra grazie alla perizia amministrativa elaborata dal dott. __________, l’istituto assicuratore resistente ha sottoposto il ricorrente a una valutazione EFL presso la __________ di __________ volta a definire la capacità lavorativa residua. La valutazione, effettuata dal dott. __________, spec. FMH in medicina interna e perito SIM EFL, e dal fisioterapista __________, ha avuto luogo il 17 e il 18 settembre 2024. In quell’occasione - tenuto conto di una refertata “tendenza ad elevata aggravazione/amplificazione dei sintomi”, cosicché la valutazione dell’esigibilità lavorativa ha dovuto essere effettuata essenzialmente su basi medico-teoriche -, l’insorgente è stato ritenuto inabile a svolgere la sua precedente professione di falegname (cfr. doc. 372, p. 8 e 9: “Da un punto di vista esclusivamente medico-teorico lavori pesanti o mediamente pesanti o lavori che implichino costantemente sforzi con l’AS dx (trasporti, avvitare, piallare, ecc.) non sono più esigibili”, rispettivamente “Esigibilità dell’attività professionale come (attività svolta fino ad ora di falegname) Attività non esigibile, richieste tropo alte”). Per contro, in un’attività leggera (pesi da 5 a 10 kg), non eccessivamente ripetitiva, che possa essere in parte svolta con il solo arto superiore sinistro non dominante e che non implichi mansioni sopra l’orizzontale con il braccio destro, l’assicurato sarebbe in grado di lavorare a tempo pieno ma con un rendimento ridotto del 20% (cfr. doc. 372, p. 8: “Ritengo invece esigibile un lavoro leggero non eccessivamente ripetitivo, che possa essere fatto in parte anche con il solo AS sx non dominante. Vanno evitati lavori sopra l’orizzontale che devono essere eseguiti con l’AS dx. In una attività adeguata allo stato di salute, rispettosa dei limiti funzionali e delle risorse, l’assicurato è abile al lavoro a tempo pieno al 100%, ma può esserci una leggera diminuzione del rendimento (rendimento ridotto massimo del 20%) dovuta alla disfunzione dell’AS dx dominante .” – il corsivo è del redattore). Il rapporto della __________ è quindi stato sottoposto al PD dott. __________, spec. FMH in chirurgia ortopedica e traumatologia, per una sua presa di posizione in merito alle risultanze della valutazione EFL. Con apprezzamento del 15 ottobre 2024, il medico fiduciario ha dichiarato di concordare con “… i risultati che mi permetto di non ripetere. Mi permetto di aggiungere che l’attività come operaio falegname non è più esigibile. L’assicurato è abile nel mercato generale con la esigibilità definita dalla __________.” (doc. 374). Con l’opposizione, il patrocinatore dell’assicurato ha prodotto un rapporto, datato 27 gennaio 2025, del dott. __________, Responsabile del Centro di chirurgia della mano presso il __________, il quale si è pronunciato in questi termini a proposito della capacità lavorativa residua: " (…) Relativamente alla capacità lavorativa specifica del Sig. RI 1 di falegname al momento del trauma, la menomazione residuata condiziona permanentemente la stessa in maniera totale in considerazione delle modalità ergonomiche con cui si svolge in prevalenza, ed è quindi in concreto non più esigibile, come anche da parere specialistico del Dr. __________ e del Dr. __________, la menomazione comporta infatti una impossibilità allo svolgimento delle mansioni del profilo di appartenenza. Nell’ipotesi di un ricollocamento lavorativo, relativamente ad un’attività lavorativa generica che prevede l’utilizzo di entrambi gli arti, stante la menomazione residua e l’importante dolorabilità cronica ad essa associata, nonché il peggioramento della situazione della spalla evidenziato dall’ultima RM effettuata il 15.11.2013, appare congruo riconoscere una riduzione della stessa di almeno il 50%, con correlate limitazioni nei carichi e negli sforzi.” (doc. 406) Con certificazione del 10 luglio 2023, sempre prodotta con l’atto di opposizione, il dott. __________, spec. FMH in fisiatria e riabilitazione, ha sostenuto che, in ragione dello stato della spalla destra, il ricorrente avrebbe dovuto evitare “movimenti ripetitivi e gravosi (sollevare pesi, guidare per lunghe tratte, sport con sollecitazioni agli arti superiori ecc …)” (doc. 407). La valutazione della capacità lavorativa residua espressa dal dott. __________ è stata commentata criticamente dal dott. __________ con apprezzamento del 21 febbraio 2025 (doc. 411). Queste in particolare le considerazioni da lui formulate in quell’occasione: " (…) Mi appoggio alle visite citate e specialmente alle visite presso il dott. med. __________ e dr. __________, nel contesto della perizia e della EFL, rispettivamente. Il rapporto del dr. __________, per i motivi sopra citati, non mi porta nuovi aspetti importanti che potrei prendere in considerazione. Non è clinicamente spiegabile e non ho trovato dentro gli atti una spiegazione come mai nel decorso post-perizia la spalla si sia immobilizzata. Il dott. med. __________ scrive di una tendinosi che chiaramente è una condizione degenerativa. Dobbiamo quindi anche considerare un quadro misto di un esito di una sutura della cuffia dei rotatori già pre-lesionata (confermato dal dott. med. __________ un peggioramento direzionale). Mi riferisco anche alla discussione di un’eventuale artrosi acromio-claveare attivata per la spiegazione medica del peggioramento. Comunque la mia argomentazione rimane strettamente a base dell’infortunio e le cause infortunistiche. Io condivido, sulla base degli esami del dott. med. __________ e del dott. med. __________ (che sono molto più dettagliati rispetto a quello del dott. med. __________), un rendimento ridotto al massimo del 20%, come propone il dr. __________, prendendo egli già in considerazione il peggioramento presente in quel tempo.” Il medico fiduciario ha comunque modificato il profilo dell’esigibilità, nel senso che, considerata la tendenza al peggioramento, sarebbero esigibili soltanto delle attività leggere, ovvero con “elevazione al massimo di 5 kg fino al livello della cintura, mai sopra l’orizzontale, il tutto limitato alla spalla destra. Comunque, in tutti questi limiti, una abilità lavorativa di 80% in attività adeguata, sembra giustificata.”. Unitamente alla propria impugnativa, l’MLaw RA 1 ha prodotto una consulenza medico-legale allestita l’8 marzo 2025 dal dott. __________, spec. in ortopedia e traumatologia a __________. A suo avviso, l’assicurato presenta “una limitazione severa dell’uso della spalla con riduzione significativa della qualità di vita, interferendo con attività quotidiane e lavorative. I sintomi in corso e le limitazioni funzionali che sperimenta il periziando sono coerenti con il meccanismo di lesione riportato e i risultati degli esami clinici e della diagnostica per immagini. Evidenza indefettibile di severo grado di dolorabilità. Il quadro clinico evidenzia tale tipologia clinica con importante limitazione funzionale che compromette significativamente le attività quotidiane e il riposo notturno. (…). Il paziente, nella sua professione di falegname, necessita di un uso funzionale e stabile dell’arto superiore per lo svolgimento delle proprie mansioni, che includono sollevamento, movimentazione di attrezzi, lavorazioni di precisione e attività ripetitive. La persistente riduzione dei ROM e il dolore cronico spalla destra severo determinano: - Impossibilità e/o grave difficoltà nell’esecuzione delle attività lavorative; - Completa incapacità lavorativa specifica di falegname; - Difficoltà nello svolgimento delle normali attività della vita quotidiana. Alla luce della documentazione clinica e dell’esame obiettivo, il paziente presenta un danno biologico funzionale permanente con gravi limitazioni all’uso della spalla operata. Tale condizione incide in maniera determinante sulla sua capacità lavorativa specifica con completa impossibilità di proseguire la sua professione di falegname. Il dolore cronico rappresenta inoltre un fattore limitante e significativo, con ripercussioni sulla qualità della vita e sul benessere psicofisico del paziente.” (doc. 420). Invitato dall’amministrazione ad esprimersi sul contenuto del rapporto del dott. __________, il PD dott. __________ ha rilevato che “attualmente l’ante-versione sembra diminuita. Nel riassunto dell’esame eseguito, la rotazione interna è ora descritta come ridotta, invece il Lift off test (indicativo di un’eventuale lesione del muscolo sottoscapolare, che è il muscolo responsabile per la maggior parte della rotazione interna) è riportato come negativo. Questo è molto contraddittorio e rimane clinicamente e anatomicamente non spiegabile. L’elevazione anteriore è stata misurata tra i 31 e i 60°, l’abduzione tra i 31 e i 60°. 31° mi sembra una cifra poco probabile da misurare, anche con un goniometro che ha sempre un certo margine di errore. Nonostante ciò, sembra che sia confermata una riduzione della mobilità della spalla. Mi riferisco nuovamente al mio breve apprezzamento medico antecedente, nel quale avevo preso in considerazione il peggioramento della mobilità della spalla attuale [e] avevo modificato di conseguenza l’esigibilità. Nonostante i nuovi reperti del dott. med. __________, ritengo l’assicurato abile all’80% nel mercato generale del lavoro, con l’esigibilità modificata proposta.” (doc. III 3). 2.3.4.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2.3.5. Chiamato a pronunciarsi, quale considerazione di ordine generale, il TCA rileva che, a seguito della sentenza 35.2023.8-9, l’amministrazione ha disposto l’esecuzione di una perizia a cura del dott. __________, il quale è stato chiamato a chiarire l’eziologia dei disturbi alla spalla destra denunciati dall’assicurato a partire dal 18 novembre 2022. Invitato dall’assicuratore a formulare i propri quesiti peritali (doc. 191), il patrocinatore del ricorrente ha proposto anche delle domande volte a definire l’ulteriore procedere terapeutico, la restante capacità lavorativa e la menomazione dell’integrità (doc. 193, p. 3). L’istituto si è però rifiutato di sottoporre all’esperto amministrativo “… quesiti che esulano [dall’, n.d.r.] l’oggetto della sentenza di rinvio e cioè la causalità …” (doc. 196). Ora, è vero che il rinvio di questa Corte riguardava specificatamente l’aspetto della causalità naturale, in quanto quello era l’oggetto della decisione su opposizione impugnata. Nulla avrebbe comunque impedito all’assicuratore d’interpellare il perito amministrativo anche sugli altri aspetti, evidentemente qualora avesse ammesso (perlomeno) un peggioramento direzionale causato dall’evento infortunistico assicurato (come è stato in effetti il caso). A prescindere da quanto precede, attentamente vagliato l’insieme della documentazione a sua disposizione , il TCA non ritiene di poter confermare la decisione su opposizione del 24 febbraio 2025, nella misura in cui l’CO 1 ha negato all’assicurato il diritto a una rendita d’invalidità. Preliminarmente, va rilevato che, non essendo la decisione impugnata fondata su una perizia esterna (cfr. supra , consid. 2.3.3.), può trovare applicazione la giurisprudenza di cui alla DTF 135 V 465, secondo la quale dei lievi dubbi circa l’affidabilità di un rapporto medico bastano per potersene discostare (cfr. supra , consid. 2.3.4.). Ora, ai referti agli atti del dott. __________ (il quale si è appoggiato anche sugli esiti della valutazione EFL svoltasi presso la __________ di __________), che costituiscono il fondamento della decisione su opposizione in esame, non può essere riconosciuto un valore probatorio sufficiente per concludere, con la necessaria tranquillità, che in attività adeguate alternative a quella precedente di falegname, l’insorgente presenterebbe una capacità lavorativa dell’80%. Dalle carte processuali emerge infatti che dopo l’intervento artroscopico di ricostruzione della cuffia dei rotatori del 13 ottobre 2021 (doc. 61), RI 1 ha accusato forti dolori alla spalla destra che sono persistiti nel tempo nonostante le terapie applicate dai sanitari e che determinano una significativa ipomobilità di tutto l’arto superiore omolaterale. La presenza di un’importante componente algica è in effetti stata unanimamente segnalata dal dott. __________ (cfr. doc. 74, doc. 82, doc. 103, doc. 118 e doc. 340), dal dott. __________ (cfr. doc. 162, p. 4 e doc. 406, p. 2), dal dott. __________, spec. in ortopedia e traumatologia (cfr. doc. 172, p. 18), dal curante dott. __________, medico chirurgo (cfr. doc. 172, p. 17), dal perito amministrativo dott. __________ (cfr. doc. 298, p. 77), dai sanitari della __________ (cfr. doc. 372), dal dott. __________ (cfr. doc. 407) e dal dott. __________ (cfr. doc. 420, p. 6). Da parte sua, con apprezzamento del 21 febbraio 2025, il medico consulente dell’CO 1 ha parlato di “dolori forti ovviamente presenti ” che potevano essere spiegati con la “artrosi acromio-claveare documentata nella pratica” (cfr. doc. 411, p. 1 – il corsivo è del redattore). Con l’opposizione (cfr. doc. 404, p. 7), e ancora in sede ricorsuale (cfr. doc. I, p. 12 s. e p. 17 s.), l’MLaw RA 1 ha segnalato che, a causa della severa sintomatologia algica interessante la spalla destra, all’assicurato è stata prescritta l’assunzione di pesanti medicamenti, i cui effetti collaterali sarebbero suscettibili d’impattare sul suo rendimento e, pertanto, avrebbero dovuto essere presi in considerazione nella valutazione della capacità lavorativa residua. A sostegno di ciò, egli ha versato agli atti alcune prescrizioni del farmaco Targin® (prescrizione del 20 maggio 2024 [2 confezioni – doc. 336, p. 7], prescrizione del 18 settembre 2024 [2 confezioni – doc. 370, p. 3], prescrizione del 18 novembre 2024 [2 confezioni – doc. 389, p. 2], prescrizione del 20 gennaio 2025 [2 confezioni – doc. G], prescrizione del 4 marzo 2025 [2 confezioni – doc. G] e prescrizione del 28 aprile 2025 [2 confezioni – doc. CC). In base al sito web di Swissmedic, il Targin®, il cui principio attivo è l’ossicodone, dunque un oppioide (derivato dalla morfina), è indicato per il trattamento del dolore persistente, da moderato a grave, o in caso d’insufficiente efficacia di analgesici non oppioidi. Interpellato dall’amministrazione a proposito degli effetti secondari della terapia medicamentosa assunta dal ricorrente, il PD __________ ha rilevato quanto segue: " (…) Trovo una ricetta datata 19.11.2024. È stata effettuata una prescrizione di Oxycodone, Naloxon, Targin 20 mg/10mg ad uso orale. Sono oppioidi. Secondo il Compendium svizzero per i farmaci le indicazioni per questa medicazione sono dolori prolungati medio-alti. Come effetti collaterali vengono descritti sonnolenza ed episodi imprevisti di addormentamento, nonché il rischio di una dipendenza. Dunque, l’indicazione medica per questo tipo di medicamenti deve essere ben fondata. Questi farmaci non sono idonei per una terapia permanente per i rischi descritti. Quindi, secondo il mio parere, non sono idonei di far parte d’una valutazione di una eventuale diminuzione di rendimento in un’attività adatta.” (doc. 411, p. 3) In sede di decisione su opposizione, riferendosi alla risposta fornita dal proprio medico fiduciario, l’assicuratore resistente ha affermato di non poter tenere conto degli effetti collaterali dei farmaci (cfr. doc. 414, p. 5). In una recente sentenza 8C_419/2024 del 26 maggio 2025, riguardante un’assicurata che, a causa degli interventi chirurgici resisi necessari a seguito delle conseguenze primarie di un infortunio, aveva reliquiato dei dolori cronici all’arto inferiore sinistro nella forma di una coxodinia, per il trattamento dei quali ella assumeva una forte medicazione antalgica (morfina e suoi derivati), il Tribunale federale ha rilevato che disturbi della concentrazione e della vigilanza rappresentano degli effetti secondari abituali e notoriamente conosciuti dei farmaci oppioidi, di modo che non vi erano validi motivi per scostarsi dalle conclusioni del perito giudiziario che aveva ammesso una limitazione dell’attività professionale (anche) a tale titolo (cfr. consid. 4: “D'autre part, l'usage de médicaments comme la morphine et ses dérivés peut entraîner des troubles de la concentration et de la vigilance, ce qui limite également l'activité professionnelle." e consid. 6.2: “ Quant aux troubles de la concentration et de la vigilance évoqués par l'expert judiciaire, il s'agit d'effets secondaires habituels et notoirement connus de la forte médication antalgique prescrite à l'intimée. Il s'ensuit qu'en l'absence de raisons de s'écarter de l'expertise judiciaire (cf. consid. 3 supra), la cour cantonale était fondée à en suivre les conclusions. ” ). Ora, nella concreta evenienza, in base a quanto risulta dalla documentazione a disposizione di questo Tribunale, RI 1 soffre di forti dolori cronici alla spalla destra e per il loro trattamento gli è stata prescritta l’assunzione di farmaci a base di oppioidi. Stante quanto precede, alla luce della giurisprudenza federale appena citata, in cui è stato posto il principio secondo il quale le conseguenze indotte dalla medicazione indispensabile al controllo dei dolori devono essere valutate e, se del caso, occorre tenerne conto nella determinazione della capacità lavorativa esigibile, l’assicuratore LAINF convenuto non poteva “liquidare” la questione semplicemente affermando che non si devono considerare gli effetti secondari della farmacoterapia assunta (cfr. doc. 414, p. 5). In queste condizioni, la decisione su opposizione impugnata nella misura in cui è stato negato il diritto a una rendita d’invalidità, va annullata. Gli atti devono quindi essere retrocessi all’CO 1 affinché sottoponga all’esperto amministrativo dott. __________ il tema della medicazione prescritta all’assicurato, e ciò a titolo di complemento peritale. In particolare, andrà accertato che la prescrizione di oppioidi risponda a una reale indicazione medica e che i medicamenti in questione vengano effettivamente assunti dall’insorgente (ciò, ad esempio, grazie a un esame della concentrazione del farmaco in questione nel sangue). In caso di risposta affermativa, l’esperto amministrativo dovrà poi valutare gli effetti secondari della medicazione assunta e la loro incidenza sulla capacità lavorativa residua dell’assicurato determinata in base alle limitazioni funzionali meccaniche. Tenuto conto degli esiti del complemento peritale, l’istituto resistente deciderà nuovamente in merito al diritto a una rendita d’invalidità. 2.4. Entità della menomazione dell’integrità.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Ghélèw/Ramelet/Ritter, Commentaire de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Nella concreta evenienza, con la decisione su opposizione impugnata, l’CO 1 ha assegnato all’assicurato un’IMI del 15% (cfr. doc. 414, p. 8). Tale decisione risulta fondata sulla valutazione espressa dal PD dott. __________. Con apprezzamento del 15 ottobre 2024, lo specialista in chirurgia ortopedica appena citato si è infatti espresso in proposito nei seguenti termini: " (…). 1 Reperti Siamo in presenza di una lesione della cuffia dei rotatori, post-infortunistica, operata e suturata. Ora è presente un deficit di mobilità, l’assicurato non riesce più a sollevare il braccio sopra l’orizzontale (vedi referto attuale della __________). 2 Valutazione del danno all’integrità 15% 3 Motivazione Mi riferisco alla tabella 1.1 Suva, menomazione dell’integrità da alterazioni funzionali degli arti superiori. Per una spalla mobile fino all’orizzontale è concesso un 15%.” (doc. 375) In data 21 febbraio 2025, pronunciandosi sui referti dei dottori __________ e __________ nel frattempo versati agli atti, il medico fiduciario ha osservato che “all’assicurato è già stata concessa la IMI massima per una elevazione della spalla fino all’orizzontale del 15%. È già stato preso in considerazione il peggioramento della mobilità documentato. Visto che siamo quasi a quattro anni dopo l’infortunio sarebbe da costatare che la situazione si sia stabilizzata.” (doc. 411, p. 4). Infine, chiamato dall’amministrazione a prendere posizione sul contenuto della consulenza medico-legale del dott. __________, il dott. __________ ha ribadito che il 15% di IMI assegnato all’insorgente rappresenta “… il massimo concesso per un’inabilità di elevare il braccio sopra l’orizzontale.” (doc. III 3). Con la propria impugnativa, il patrocinatore ha chiesto che all’assicurato venga riconosciuta un’IMI del 20%, sostenendo che essa si giustificherebbe a fronte del danno biologico (del 45-50%) valutato dal dott. __________ e tenuto conto del fatto che in realtà il dott. __________ non avrebbe affatto considerato il prevedibile peggioramento dello stato della spalla destra (cfr. doc. I, p. 18 e doc. V, p. 7). 2.4.6.  Chiamata a pronunciarsi su una questione di natura squisitamente medica, questa Corte ritiene che l’apprezzamento del medico fiduciario dell’CO 1, specialista proprio nella materia che qui interessa, possa validamente costituire da fondamento al giudizio che è ora chiamata a rendere. Da una parte, va rilevato che agli atti non figurano pareri specialistici suscettibili di generare dei dubbi, perlomeno lievi, circa l’affidabilità della valutazione della menomazione dell’integrità espressa dal PD dott. __________. In effetti, i dottori __________ e __________ non si sono pronunciati in merito alla menomazione dell’integrità. Trattandosi invece della relazione del dott. __________ richiamata dall’MLaw RA 1, occorre precisare che la nozione di IMI del diritto svizzero è ben diversa dal concetto di danno biologico previsto nell’ordinamento italiano, il quale, secondo la giurisprudenza della Corte di Cassazione italiana, rappresenta l'incidenza negativa che una determinata menomazione presumibilmente riverbera sullo svolgimento delle attività quotidiane e sugli aspetti dinamico relazionali della vita del danneggiato (cfr., in questo senso, la STCA 35.2021.1 del 5 luglio 2021 consid. 2.5.6, cresciuta incontestata in giudicato). D’altra parte, il rappresentante del ricorrente non può essere seguito neppure laddove pretende che il fiduciario non avrebbe preso in considerazione il prevedibile peggioramento della spalla infortunata. In questo senso, va osservato che la menomazione del 15% valutata dal dott. __________ corrisponde, in base alla tabella Suva n. 1.2, a un blocco meccanico della spalla sopra l’orizzontale. In altri termini, l’interessato riesce a muovere l’arto superiore infortunato soltanto sotto quel livello, ciò che coincide con la situazione dell’assicurato. Inoltre, occorre considerare che lo stesso medico di fiducia ha dichiarato che l’IMI riconosciuta già considera il documentato peggioramento dell’articolarità della spalla destra, le cui condizioni, a distanza di circa quattro anni dall’evento traumatico, sono da ritenere ormai definitive. Questa Corte non ravvede validi motivi per scostarsi da quanto sostenuto dal dott. __________, motivi che nemmeno il rappresentante del ricorrente è in realtà stato in grado di evidenziare. All’insorgente va comunque rammentato che, in caso di peggioramento non prevedibile della menomazione dell’integrità, l’art. 36 cpv. 4 OAINF contempla la possibilità di chiedere la revisione dell’indennità assegnata . In queste condizioni, la decisione su opposizione impugnata deve essere confermata nella misura in cui l’assicurato è stato posto al beneficio di un’IMI del 15%. 2.5. Considerato l’esito del ricorso, l’assicuratore verserà all’insorgente, rappresentato da un avvocato, l’importo fr. 2’000 (IVA inclusa) a titolo d’indennità per ripetibili. 2.6.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