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35.2024.78 vom 22. September 2025</w:t>
      </w:r>
    </w:p>
    <w:p>
      <w:r>
        <w:t>TI Tribunale d'appello, 2025-09-22, IT</w:t>
      </w:r>
    </w:p>
    <w:p>
      <w:r>
        <w:rPr>
          <w:b/>
        </w:rPr>
        <w:t xml:space="preserve">Quelle: </w:t>
      </w:r>
      <w:r>
        <w:t>https://mcp.opencaselaw.ch/entscheid/ti_gerichte_35.2024.78</w:t>
      </w:r>
    </w:p>
    <w:p>
      <w:r>
        <w:t>FR: TI_GERICHTE 35.2024.78 du 22 septembre 2025</w:t>
      </w:r>
    </w:p>
    <w:p>
      <w:r>
        <w:t>IT: TI_GERICHTE 35.2024.78 del 22 settembre 2025</w:t>
      </w:r>
    </w:p>
    <w:p>
      <w:pPr>
        <w:pStyle w:val="Heading2"/>
      </w:pPr>
      <w:r>
        <w:t>Erwägungen</w:t>
      </w:r>
    </w:p>
    <w:p>
      <w:r>
        <w:rPr>
          <w:b/>
        </w:rPr>
        <w:t>E. 2</w:t>
      </w:r>
    </w:p>
    <w:p>
      <w:r>
        <w:t>LAINF non è applicabile”. Come ricordato in precedenza (cfr. consid. 2.5.), infatti, una tale evenienza si realizza esclusivamente qualora l’infortunio e l’evento non assicurato abbiano provocato dei danni alla salute senza correlazione reciproca, che necessitano di terapie differenti, ad esempio perché interessano parti diverse del corpo, ciò che manifestamente non si realizza nella fattispecie qui in esame. Soltanto in quel caso, le conseguenze dell’infortunio vanno valutate e indennizzate separatamente, senza considerare il fattore extra-infortunistico. A proposito della valutazione enunciata dalla dr.ssa __________, il TCA osserva che nella sua valutazione peritale del 19 dicembre 2017 – condivisa e ripresa dalla specialista fiduciaria dell’assicuratore - la dr.ssa __________ ha già opportunamente stabilito l’inabilità lavorativa dell’assicurata tenendo conto unicamente delle affezioni invalidanti (il disturbo di personalità). Ella ha, infatti, valutato che la diminuzione della capacità lavorativa psichiatrica del 20% è determinata “dalle caratteristiche di personalità quali l’instabilità affettiva, dovuta a una marcata reattività dell’umore, ciò spiega i momenti depressivi reattivi. Rabbia inappropriata, con a volte difficoltà a controllarla o a cortocircuitarla sul corpo con somatizzazioni o accentuazione dei sintomi fisici (es. acufeni). Difficoltà relazionali” (cfr. doc. 650). La dr.ssa __________ ha, invece, correttamente escluso gli aspetti psico-sociali estranei all’invalidità (cfr. doc. 650, nel quale l’esperta ha indicato che “in questa assicurata sono ben presenti conseguenze di fattori non assicurati, quali la disoccupazione, le difficoltà economiche e fattori socio-familiari (figlio)”). In questo contesto, è utile segnalare che effettivamente i fattori psicosociali (problemi di coppia, difficoltà personali, disoccupazione, problemi di natura finanziaria, ecc.) non figurano nel novero delle affezioni alla salute suscettibili di originare un'incapacità di guadagno (cfr. STF 9C_990/2012 del 10 giugno 2013 consid. 5.2.3 con riferimenti; cfr., pure, STCA 32.2018.189 del 14 ottobre 2019 consid. 2.12. e riferimenti ivi citati; 32.2019.10 del 20 gennaio 2020 consid. 2.7. e riferimenti ivi citati; 32.2019.159 del 2 giugno 2020 consid. 2.8.), in particolare non vi figurano i problemi reattivi a una decisione negativa dell’autorità, altrimenti la nozione legale d’invalidità verrebbe svuotata di contenuto (cfr. STF 9C_799/2012 del 16 maggio 2013 consid. 2.5 con riferimenti; 9C_640/2017 del 28 dicembre 2017 consid. 3.2; cfr., pure, STCA 32.2018.137 del 20 agosto 2019 consid. 1.8. e rinvii ivi citati; 32.2019.159 del 2 giugno 2020 consid. 2.8.; 35.2022.44 del 6 marzo 2023). Essendosi, quindi, la dr.ssa __________ basata sulla valutazione peritale effettuata dalla dr.ssa __________, la quale ha operato una chiara separazione tra le affezioni con ripercussioni sulla capacità lavorativa e, invece, i fattori psicosociali privi di una tale influenza, il TCA non può che concludere che l’inabilità lavorativa del 20% per ragioni psichiche faccia già astrazione dai fattori psico-sociali. Per tali ragioni, non può essere tutelata la valutazione con la quale la dr.ssa __________ ha reputato che il 70% dell’inabilità lavorativa del 20% stabilita dalla dr.ssa __________ sia da ascrivere (anche) a fattori extra-infortunistici di natura essenzialmente psicosociale, quali il senso di ingiustizia nei confronti della CO 1 che non le avrebbe pagato tutte le prestazioni alle quali ella ritiene di avere diritto, le preoccupazioni finanziarie strettamente connesse con il rilascio del permesso B, ecc. (cfr. doc. 664). Assodato che l’art. 36 LAINF trova applicazione nel caso di specie, il capoverso 2, seconda frase, di quella disposizione prevede che una riduzione della rendita di invalidità quale prestazione di lunga durata entra in linea di conto soltanto se lo stato preesistente extra-infortunistico aveva già provocato una diminuzione durevole e importante della capacità di guadagno, in altri termini se tale stato presentava già un carattere invalidante (cfr. DTF 121 V 326 consid. 3b). In casu , va, quindi, ancora verificata l’esistenza o meno di una tale pregiudizialità da parte del disturbo di personalità, preesistente, di cui è portatrice l’interessata. A tale proposito, questo Tribunale rileva che dalla documentazione agli atti non emerge che prima dell’infortunio l’assicurata abbia mai presentato un’incapacità lucrativa di lunga durata per motivi psichici legati al disturbo di personalità accertato dalla dr.ssa __________ nell’ambito della perizia psichiatrica disposta dall’UAI e fatta propria dalla dr.ssa __________. Basti al riguardo rilevare che già il dr. __________, suo psichiatra curante fin dal 6 settembre 2011, in un referto del 7 marzo 2012 aveva chiaramente indicato che la stessa non presentasse precedenti psichiatrici noti (cfr. doc. 153). Analoghe considerazioni sono poi state nuovamente ribadite dal dr. __________ nel referto del 6 febbraio 2024, indicando che “si tratta di una paziente 60enne, senza gravi precedenti psichiatrici noti” (cfr. doc. 674). Dall’insieme degli atti non emerge che l’insorgente abbia, prima dell’infortunio, lavorato in misura inferiore al 100% per ragioni di natura psichica. A tale proposito, nel referto del 23 ottobre 2024, la dr.ssa __________ ha espressamente indicato che “nell’anamnesi lavorativa la signora ha sempre lavorato al 100% come infermiera prima in ambito ospedaliero pubblico e privato in Italia e dal 2009 in Svizzera prima come frontaliera e poi come domiciliata per tutto il 2010. Aveva iniziato le pratiche per creare un’Agenzia di __________ con altri collaboratori” (cfr. doc. M). Alla luce di tali circostanze, tenuto conto della giurisprudenza e della dottrina sopra illustrate (cfr. consid. 2.5.), analogamente a quanto stabilito nella più volte menzionata DTF 121 V 331 – in cui la Corte federale ha considerato ingiustificata la riduzione della rendita d'invalidità operata dall’amministrazione, dato che il quadro dei disturbi psichici presenti prima dell'infortunio non aveva mai pregiudicato in modo durevole la capacità di guadagno - il TCA non può confermare la riduzione applicata dall’CO 1. Pertanto, non essendovi spazio per una riduzione della rendita di invalidità ai sensi dell'art. 36 cpv. 2, seconda frase, LAINF, la diminuzione del rendimento del 20% per ragioni psichiche va presa in considerazione integralmente. Di conseguenza, la decisione impugnata va riformata nel senso che alla riduzione di rendimento del 20% per i soli disturbi uditivi va aggiunta, così come fatto dall’amministrazione (cfr. consid. 1.6.), la diminuzione del rendimento del 20% per ragioni psichiche (senza riduzione), per una riduzione complessiva del 40%, corrispondente a una rendita di invalidità di pari entità. 2.9.  Visto l’esito del ricorso l’CO 1 verserà all’insorgente, rappresentata da un avvocato, l’importo fr. 2'500 (IVA inclusa) a titolo d’indennità per ripetibili.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