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35.2024.5 vom 21. Mai 2024</w:t>
      </w:r>
    </w:p>
    <w:p>
      <w:r>
        <w:t>TI Tribunale d'appello, 2024-05-21, IT</w:t>
      </w:r>
    </w:p>
    <w:p>
      <w:r>
        <w:rPr>
          <w:b/>
        </w:rPr>
        <w:t xml:space="preserve">Quelle: </w:t>
      </w:r>
      <w:r>
        <w:t>https://mcp.opencaselaw.ch/entscheid/ti_gerichte_35.2024.5</w:t>
      </w:r>
    </w:p>
    <w:p>
      <w:r>
        <w:t>FR: TI_GERICHTE 35.2024.5 du 21 mai 2024</w:t>
      </w:r>
    </w:p>
    <w:p>
      <w:r>
        <w:t>IT: TI_GERICHTE 35.2024.5 del 21 maggio 2024</w:t>
      </w:r>
    </w:p>
    <w:p>
      <w:pPr>
        <w:pStyle w:val="Heading2"/>
      </w:pPr>
      <w:r>
        <w:t>Erwägungen</w:t>
      </w:r>
    </w:p>
    <w:p>
      <w:r>
        <w:rPr>
          <w:b/>
        </w:rPr>
        <w:t>E. 4</w:t>
      </w:r>
    </w:p>
    <w:p>
      <w:r>
        <w:t>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 Commentaire de la loi sur l'assurance-accidents (LAA), Losanna 1992, pag. 44-51). Scopo della definizione è di tracciare un chiaro confine tra infortunio e malattia. 2.5.  Si evince dalla nozione stessa di infortunio che il carattere straordinario non concerne gli effetti del fattore esterno ma unicamente il fattore esterno in quanto tale (cfr. RAMI 2000 U 374 pag.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(cfr. STF 8C_791/2018 del 19 agosto 2019 consid. 3.2.; DTF 122 V 233 consid. 1, 121 V 38 consid. 1a, 118 V 61 consid. 2b, 118 V 283 consid. 2a; RAMI 1993 pag. 157 segg.,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(cfr. STF 8C_404/2020 dell’11 giugno 2021 consid. 3.1.).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(cfr. STF 8C_404/2020 dell’11 giugno 2021 consid. 3.1.; DTF 122 V 232 consid. 1; DTF 121 V 38 consid. 1a, 118 V 61 consid. 2b, 283 consid. 2; DTF 116 V 138 consid. 3a e b, 147 consid. 2a; RAMI 1993 U 165 pag. 59 consid. 3b). 2.6.  Conformemente alla giurisprudenza, tocca all'assicurato rendere verosimile l'esistenza, in concreto, di tutti gli elementi costitutivi d'infortunio. Quando l'istruttoria non permette di ritenere accertati, perlomeno secondo il grado della verosimiglianza preponderante - la semplice possibilità non basta - tali elementi, il giudice constata l'assenza di prove o di indizi e, quindi, l'inesistenza giuridica dell'infortunio (cfr. STF 8C_827/2017 del 18 maggio 2018 consid. 4.1.; DTF 114 V 305segg. consid. 5b, 116 V 136segg. consid. 4b, 111 V 201 consid. 6b; RAMI 1990 U 86 pag. 50; A. Bühler , Der Unfallbegriff, in: A. Koller (Hrsg.), Haftpflicht- und Versicherungsrechtstagung 1995, S. Gallo 1995, pag. 267). Gli stessi principi sono applicabili alla prova dell'esistenza di una lesione parificata ai postumi di infortunio (cfr. DTF 114 V 306 consid. 5b; 116 V 141 consid. 4b). 2.7.  Nel caso di specie il TCA constata che il Dr. med. __________, spec. in chirurgia della mano e chirurgia ortopedica e traumatologica, il 1° giugno 2023, quale diagnosi menziona “distorsione gomito sinistro con e/d distrattivi del muscolo pronatore rotondo, lesione parziale e tendine brachiale sull’ulna, entesite dell’epicondilo laterale e segni di epitrocleite mediale” (cfr. doc. 29). Il 30 giugno 2023 egli ha specificato che avrebbe rivisto il paziente con un’elettromiografia del nervo ulnare per valutare un’eventuale neurite post-traumatica (cfr. doc. 37). Il 28 settembre 2023, dopo l’esecuzione di un’ENMG con la Dr. med. __________, neurologa, il medico ha aggiunto la diagnosi di “sindrome del tunnel cubitale a sinistra di origine post-traumatica” (cfr. doc. 59). Il 20 febbraio 2024 il Dr. med. __________ ha precisato che il traumatismo ha provocato “lesioni alla muscolatura dell’avambraccio con dolori che adesso si sono cronicizzati. Nel frattempo, il paziente ha manifestato anche una compressione del nervo ulnare” (cfr. doc. X1). Dal referto della RM al gomito sinistro del 17 maggio emerge: " Edema del pronatore rotondo. Sfumata alterazione di segnale all’inserzione del tendine brachiale sull’ulna con lesione parcellare nel contesto. Regolare l’inserzione del tendine del bicipite. Aspetto tumefatto del tendine estensore comune, disomogeneo all’inserzione sull’epicondilo laterale con piccola area lacunare nel contesto da entesopatia/entesite con lesione parcellare. Regolari legamenti collaterali. Non edema della spongiosa dei segmenti ossei esaminati.” (Doc. 17) Le relative conclusioni della RM sono le seguenti: “entesite inserzionale del tendine del brachiale sull’ulna e dell’estensore comune sull’epicondilo laterale con lesioni parcellari nel contesto” (cfr. doc. 17). L’entesite, sinonimo della tendinite inserzionale, è l’infiammazione dell'inserzione del tendine, ossia dell’entesi tra osso e tendine (cfr . https://www.rheumaliga.ch/assets/doc/CH_Dokumente/fachpersonen/update-rheumatologie/2021_Documentazione_Fibromialgia.pdf ; https://www.eoc.ch/pazienti/malattie-e-trattamenti/s/spondilite-anchilosante.html ). Inoltre il PD Dr. med. __________, specialista FMH in neurologia, il 26 ottobre 2023, ha indicato: " (…) Initial wird versicherungsmedizinisch a priori die Bemerkung gemacht, dass formal nach UVG weder e i ne akute Sehnentendinitis noch e i ne Neuritis des N. ulnaris unter die gelisteten Diagnosen des Art. 6 Abs. 2 fur ein unfal l artiges Ereignis fallen (…)” (Doc. 62) Il 1° dicembre 2023 il medesimo ha puntualizzato: " (…) In der vorherigen Stellungnahme hatten wi r diesbezugl i ch ausgeführt , dass weder die festgestellt e Diagnose einer chron i sche n Insertionstendinitis des M usculus brachialis am Ansat z im Ellbogen links noch das interm i ttierende N ervus ulnaris Re i zs y ndr o m i m Cubitaltunne l (SUS) bei einem ko r perlich schwer arbeitenden Versicherten mit über w iege n der Wahrscheinlichkeit den Tatbestand e i nes unfall ä hnlichen Ereignisses gemäss Arti k el 6.2 UVG er füll en w ü rde. Auch d i e aktuel l e weitere Beschwerdeverschlimmerung s p räche e h e r fur e i ne chroni fi z i ert e Symptomatik im Sinne e i nes chronischen Cub i taltunnelsyndroms ( SUS ) a l s z w eith ä ufigstem N ervenengpasssyndrom des Menschen und nicht f ur ein unfallähnlich e Ereign i s wi e z .B. ein a k uter Sehnenriss ohne degenerativen Vorzustand bei einem junge n Menschen.” (cfr. doc. 87) Ciò è stato ribadito dal PD Dr. med. __________ il 4 aprile 2024 (cfr. doc. XI1). Per completezza è comunque utile segnalare che, nella DTF 146 V 51 consid. 9.1, il Tribunale federale si è chinato segnatamente sulla questione di sapere quale disposizione torna applicabile allorquando l’assicuratore contro gli infortuni ha ammesso l’esistenza di un infortunio ex art. 4 LPGA e che l’assicurato soffre di una lesione corporale ai sensi dell’art. 6 cpv. 2 LAINF. La Corte federale ha stabilito che in tale ipotesi, l’assicuratore contro gli infortuni deve prendere a proprio carico le conseguenze della lesione in questione in virtù dell’art. 6 cpv. 1 LAINF. Per contro, in assenza di un infortunio ai sensi di legge, il caso deve essere esaminato dal profilo dell’art. 6 cpv. 2 LAINF. 2.8.  Nella presente evenienza, alla luce di quanto precede, questo Tribunale esamina se l’assicurato sia rimasto vittima di un infortunio ai sensi dell’art. 4 LPGA oppure no. Il</w:t>
      </w:r>
    </w:p>
    <w:p>
      <w:r>
        <w:rPr>
          <w:b/>
        </w:rPr>
        <w:t>E. 5</w:t>
      </w:r>
    </w:p>
    <w:p>
      <w:r>
        <w:t>maggio 2023, il datore di lavoro dell’insorgente ha annunciato all’assicuratore che il 3 maggio 2023 al ricorrente, mentre utilizzava un martello pneumatico, si è girato il braccio sinistro, riportando una torsione/distorsione (cfr. doc. 2). Il</w:t>
      </w:r>
    </w:p>
    <w:p>
      <w:r>
        <w:rPr>
          <w:b/>
        </w:rPr>
        <w:t>E. 9</w:t>
      </w:r>
    </w:p>
    <w:p>
      <w:r>
        <w:t>agosto 2005; STF I 173/04 del 10 agosto 2005; STF I 422/04 del 29 agosto 2005; STF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STF 8C_674/2020 del 19 gennaio 2021 consid. 4.1.; DTF 125 II 275; DTF 124 I 304 consid. 2c; DTF 122 I 267 consid. 2b). Al riguardo cfr. pure STF 9C_168/2021 del 22 giugno 2022 consid. 2; STF 8C_56/2021 del 17 marzo 2021 consid. 8.1.; STF 8C_941/2015 del 15 febbraio 2016 consid. 2.2.; STCA 42.2022.7 del 23 maggio 2022 consid. 2.13.; del STCA 42.2019.21 del 18 settembre 2019 consid. 2.11. 2.17.2.  Nella concreta fattispecie il TCA ritiene - qualora la parte ricorrente avesse espressamente postulato l’ammissione al gratuito patrocinio e il rappresentante in seno al RA 1 adempia i requisiti per il riconoscimento del gratuito patrocinio (cfr. consid. 2.17.) - che non sarebbe soddisfatto il requisito della probabilità di esito favorevole (cfr. STF 8C_563/2010 del 29 settembre 2010; STF U 347/98 del 10 ottobre 2001; STF I 446/00 dell'8 febbraio 2001; STF U 220/99 del 26 settembre 2000; STF 1P.569/2001 del 17 ottobre 2001; DTF 119 Ia 253 consid. 3b). Alla luce della Las, della Laps, della giurisprudenza pubblicata, segnatamente, nei siti www.bger.ch e www.sentenze.ti.ch , la presente vertenza relativa alla questione di sapere se l’CO 1 abbia correttamente negato il proprio obbligo prestativo in relazione all’evento del 3 maggio 2023 con effetto ex nunc et pro futuro dal 1° novembre 2023 (cfr. doc. 66; A3; consid. 1.3.; 1.5.), appariva, dopo un esame degli atti forzatamente sommario, destinata all'insuccesso, in quanto le prospettive di esito favorevole erano considerevolmente minori dei rischi di perdere la causa. In effetti dalla rilevante documentazione agli atti emergeva in modo indubbio che il tema peraltro principalmente di natura medica (valutazione della causalità naturale; consid. 2.10.), non risultava complesso e che difettava un nesso causale naturale tra l’evento in questione e i disturbi al gomito sinistro. Di primo acchito, dunque, si doveva concludere che il procedimento non aveva probabilità di esito favorevole (cfr. DTF 125 II 265 consid. 4c; STCA 35.2022.25 del 28 aprile 2022, il cui ricorso al TF è stato considerato inammissibile con giudizio 8C_344/2022 dell’8 giugno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