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35.2024.49 vom 21. Oktober 2024</w:t>
      </w:r>
    </w:p>
    <w:p>
      <w:r>
        <w:t>TI Tribunale d'appello, 2024-10-21, IT</w:t>
      </w:r>
    </w:p>
    <w:p>
      <w:r>
        <w:rPr>
          <w:b/>
        </w:rPr>
        <w:t xml:space="preserve">Quelle: </w:t>
      </w:r>
      <w:r>
        <w:t>https://mcp.opencaselaw.ch/entscheid/ti_gerichte_35.2024.49</w:t>
      </w:r>
    </w:p>
    <w:p>
      <w:r>
        <w:t>FR: TI_GERICHTE 35.2024.49 du 21 octobre 2024</w:t>
      </w:r>
    </w:p>
    <w:p>
      <w:r>
        <w:t>IT: TI_GERICHTE 35.2024.49 del 21 ottobre 2024</w:t>
      </w:r>
    </w:p>
    <w:p>
      <w:pPr>
        <w:pStyle w:val="Heading2"/>
      </w:pPr>
      <w:r>
        <w:t>Regeste</w:t>
      </w:r>
    </w:p>
    <w:p>
      <w:r>
        <w:t>Discussa eziologia lesione dentale (viso colpito da pallone da volley)</w:t>
      </w:r>
    </w:p>
    <w:p>
      <w:pPr>
        <w:pStyle w:val="Heading2"/>
      </w:pPr>
      <w:r>
        <w:t>Erwägungen</w:t>
      </w:r>
    </w:p>
    <w:p>
      <w:r>
        <w:rPr>
          <w:b/>
        </w:rPr>
        <w:t>E. 38</w:t>
      </w:r>
    </w:p>
    <w:p>
      <w:r>
        <w:t>consid. 1a, 118 V 61 consid. 2b, 118 V 283 consid. 2a; RAMI 1993 p. 157ss, consid. 2a). Ammettere l’esistenza di un infortunio ai sensi di legge non è però ancora sufficiente per fondare l’obbligo a prestazioni dell’assicuratore LAINF. 2.4.  Presupposto essenziale è, in effetti, che tra l’evento dannoso e il danno dentario esista, secondo il criterio della verosimiglianza preponderante, caratteristico del settore della sicurezza sociale, un nesso di causalità naturale. Conformemente alla giurisprudenza, l’esigenza di un nesso di causalità naturale è adempiuta quando si può ammettere che, senza l’evento infortunistico, il danno non si sarebbe prodotto oppure non sarebbe insorto allo stesso modo. Non è comunque necessario che l’infortunio rappresenti la causa unica o immediata del danno: è sufficiente che il sinistro, associato eventualmente ad altri fattori, abbia provocato il danno - fisico o psichico - alla salute, ovvero che si presenti come la conditio sine qua non di quest’ultimo (cfr. DTF 129 V 177 consid. 3.1, 402 consid. 4.3.1 e riferimenti ivi citati; SVR 2005 KV n. 12 p. 41). La responsabilità dell’assicuratore non può quindi essere negata per il motivo che un danno alla salute (organico) è ampiamente imputabile a uno stato preesistente e che l’evento infortunistico ha per contro giocato un ruolo subordinato (cfr. STF 8C_399/2008 del 19 novembre 2008 consid. 1.2 e riferimenti). È soltanto quando, in ragione dello stato preesistente, una sollecitazione ordinaria avrebbe potuto causare approssimativamente allo stesso momento il medesimo danno alla salute, che la causalità naturale può essere negata (causa occasionale o casuale; cfr. SVR 2007 UV n. 28 p. 94). 2.5.  Per quanto riguarda i danni alla salute organici oggettivabili, inclusi i danni dentari, la causalità naturale si sovrappone ampiamente a quella adeguata. In questo contesto, la questione di sapere se l’evento infortunistico, secondo il corso ordinario delle cose e l'esperienza della vita, è di per sé idoneo a provocare un effetto come quello che si è prodotto, sicché il suo verificarsi appaia in linea generale propiziato dall'evento in questione (DTF 129 V 177 consid. 3.2), non gioca praticamente alcun ruolo per ammettere l’obbligo a prestazioni (cfr. DTF 134 V 109 consid. 2.1 e riferimenti). Trattandosi di danni dentari con stato morboso preesistente, la causalità adeguata - analogamente a quella naturale (cfr. consid. 2.4.) - potrebbe venir negata soltanto se si potesse ammettere che il dente indebolito dallo stato morboso preesistente, approssimativamente allo stesso momento, non avrebbe resistito a una normale sollecitazione (cfr. STF 8C_125/2023 dell’8 agosto 2023 consid. 5.1 e 5.3 e riferimenti ivi citati, pubblicata in: SVR 12/2023 UV n. 51 p 180 ss.; DTF 114 V 169 consid. 3b). 2.6. Dalle carte processuali emerge che l’CO 1 ha fondato la decisione di negare la propria responsabilità a proposito della lesione dentaria presentata dall’assicurato, sul parere espresso al riguardo dal suo dentista di fiducia (cfr. doc. 18 e doc. 27). In effetti, con nota del 28 novembre 2023, il dott. med. dent. __________ ha affermato che il sinistro occorso il 4 settembre 2023 “non ha peggiorato la situazione del dente 33, l’ascesso avrebbe potuto svilupparsi indipendentemente dall’infortunio.” (doc. 7). Con rapporto del 13 dicembre 2023, il dentista curante del ricorrente, dott. med. dent. __________, ha obiettato che “il dente 33 nonostante lo stato paradontale, trattato adeguatamente, prima dell’infortunio presentava una buona stabilità. In seguito all’evento infortunistico del 04 settembre 2023 il dente risultava lussato con alta mobilità e la formazione di un ascesso paradontale.” (doc. 14). Nel quadro della procedura di opposizione, il dentista fiduciario è stato chiamato a precisare il proprio parere in merito all’eziologia del danno dentario (cfr. doc. 25). Queste le considerazioni da lui espresse: " (…) Dalla documentazione radiologica del 11.09.2023 attorno al dente 33 risulta una perdita di attacco paradontale nella misura di almeno il 90%, tale perdita era sicuramente già in essere prima dell’infortunio, in una settimana il rimodellamento dell’osso alveolare non risulta visibile su una radiografia.” (doc. 25) In corso di causa, questa Corte ha interpellato il dott. __________, al quale è stato segnatamente chiesto di “… spiegare dal profilo medico perché esclude, se lo esclude, che esso [il dente 33, n.d.r.] avrebbe potuto resistere anche a un atto ordinario di masticazione.” (doc. X). Questo il tenore della sua risposta 24 settembre 2024: " (…) In data 14.05.2024 avevo attestato che dalla radiografia del 11.09.2023 attorno al dente 33 risultava una perdita di attacco paradontale nella misura di almeno il 90%, tale perdita era sicuramente già in essere prima dell’infortunio, perché in una settimana il rimodellamento dell’osso alveolare non risulta visibile su una radiografia. Per valutare se un dente può sostenere un normale atto masticatorio, per la letteratura scientifica *, si calcola la relazione tra l’attacco paradontale residuo e il momento di rotazione del dente, se il momento di rotazione si trova al di sotto di quello che viene determinato come il 12% della distanza tra l’apice del dente e la giunzione smalto cementizia, si può concludere che il dente presenta una prognosi infausta. Inoltre, durante la seduta del 22 agosto 2024, con altri 7 periti odontoiatri della CO 1 abbiamo valutato collegialmente il caso arrivando tutti alla conclusione che il dente 33 in questione presentava una prognosi infausta anche prima dell’evento infortunistico che non ne ha peggiorato la situazione. Per quando concerne la certificazione del 13 dicembre 2023 del Dr. __________ si tratta di una valutazione soggettiva la cui spiegazione a mio modo di vedere andrebbe richiesta al curante.” (doc. XI) Con le proprie osservazioni 1° ottobre 2024, il ricorrente rileva semplicemente che prima dell’evento del settembre 2023 il dente 33 non dondolava (doc. XIV). 2.7.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2.8. Chiamato ora a pronunciarsi nel caso di specie, attentamente vagliato l’insieme della documentazione a sua disposizione, questo Tribunale ritiene di poter validamente fondare il proprio giudizio sulle valutazioni agli atti del dott. med. dent. __________, secondo il quale il danno interessante il dente 33 del mascellare inferiore non è imputabile al sinistro del 4 settembre 2023, ma bensì al preesistente stato (morboso) paradontale (cfr. doc. 25 e doc. XI). In questo senso, va rilevato come il consulente dell’assicuratore convenuto abbia chiaramente indicato i motivi medici per i quali, a suo avviso, il danno dentale in discussione si sarebbe potuto produrre indipendentemente dal sinistro del settembre 2023. Questa conclusione appare senz’altro condivisibile tenuto conto della grave situazione paradontale del dente 33 (secondo quanto evidenziato dalla radiografia agli atti, il dente in questione era privo di supporto osseo nella misura di almeno il 90%), che i denti attigui al 33, anch’essi interessati dalla pallonata (cfr. doc. 3, p. 2) e che, per quanto visibile sulla radiografia, disponevano di un buon supporto osseo, non hanno subito alcuna lussazione/sublussazione (cfr. doc. 3, p. 2), che il pallone da volley/beach-volley ha un peso contenuto (260-280 grammi secondo Wikipedia) ed è confezionato in materiale morbido e che i denti frontali sono in ogni caso protetti dalle labbra. In queste condizioni, secondo il TCA, nel caso di specie sono realizzate le condizioni poste dalla giurisprudenza federale (cfr. supra , consid. 2.4. e 2.5.) per ritenere dimostrato, con un sufficiente grado di verosimiglianza, che il sinistro del 4 settembre 2023 ha costituito semplicemente la causa occasionale del danno alla salute riportato dall’assicurato (in questo senso, non appare decisiva la circostanza, più volte sottolineata dall’insorgente, che il dente 33 avrebbe iniziato a dondolare soltanto dopo l’infortunio) e, finalmente, per negare l’esistenza di un nesso di causalità. Da notare che la presente fattispecie si distingue da quella oggetto della già citata pronunzia 8C_125/2023 dell’8 agosto 2023, in cui il TF ha rinviato gli atti all’assicuratore LAINF interessato affinché disponesse una perizia medica esterna volta a stabilire se l’infortunio – masticazione di un sassolino contenuto in un sacchetto d’insalata già pronta – ha costituito una causa almeno parziale del danno dentario riportato oppure se il dente danneggiato era già prima del sinistro a tal punto indebolito che non avrebbe resistito nemmeno a una normale sollecitazione. In effetti, in base a quanto si evince da quella sentenza, lo stato (preesistente) della dentatura dell’assicurata in questione non era paragonabile a quello, gravemente compromesso (a livello paradontale), che presentava il dente 33 di RI 1. A proposito della certificazione 13 dicembre 2023 del dott. med. dent. __________, essa non appare atta a generare dei dubbi, neppure lievi (cfr. supra , consid. 2.7.), circa la fondatezza del motivato parere enunciato dal dentista di fiducia dell’assicuratore. A prescindere dal fatto che dalla nota 6 marzo 2024 del dott. __________ (doc. 15) si evince che, sentite le spiegazioni da lui fornitegli, il dentista curante avrebbe “capito la mia presa di posizione” (e in effetti agli atti non figurano ulteriori sue certificazioni, successive a quella del dicembre 2023), il parere del dott. __________ non appare sufficientemente motivato, nella misura in cui non spiega come possa essere definito ben stabile un dente che dispone di un supporto osseo alveolare del, al massimo, 10%. Stante tutto quanto precede, deve essere confermata la decisione su opposizione impugnata mediante la quale l’CO 1 ha negato il proprio obbligo a prestazioni relativamente ai costi legati alla riparazione del dente 33 dell’insorgente. 2.9.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