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35.2024.29 vom 11. November 2024</w:t>
      </w:r>
    </w:p>
    <w:p>
      <w:r>
        <w:t>TI Tribunale d'appello, 2024-11-11, IT</w:t>
      </w:r>
    </w:p>
    <w:p>
      <w:r>
        <w:rPr>
          <w:b/>
        </w:rPr>
        <w:t xml:space="preserve">Quelle: </w:t>
      </w:r>
      <w:r>
        <w:t>https://mcp.opencaselaw.ch/entscheid/ti_gerichte_35.2024.29</w:t>
      </w:r>
    </w:p>
    <w:p>
      <w:r>
        <w:t>FR: TI_GERICHTE 35.2024.29 du 11 novembre 2024</w:t>
      </w:r>
    </w:p>
    <w:p>
      <w:r>
        <w:t>IT: TI_GERICHTE 35.2024.29 del 11 novembre 2024</w:t>
      </w:r>
    </w:p>
    <w:p>
      <w:pPr>
        <w:pStyle w:val="Heading2"/>
      </w:pPr>
      <w:r>
        <w:t>Regeste</w:t>
      </w:r>
    </w:p>
    <w:p>
      <w:r>
        <w:t>Discussa l'eziologia disturbi neurologici, uditivi, vestibolari, visivi e psichici, la stabilizzazione dello stato di salute infortunistico e il diritto a una rendita d'invalidità</w:t>
      </w:r>
    </w:p>
    <w:p>
      <w:pPr>
        <w:pStyle w:val="Heading2"/>
      </w:pPr>
      <w:r>
        <w:t>Erwägungen</w:t>
      </w:r>
    </w:p>
    <w:p>
      <w:r>
        <w:rPr>
          <w:b/>
        </w:rPr>
        <w:t>E. 10</w:t>
      </w:r>
    </w:p>
    <w:p>
      <w:r>
        <w:t>luglio 2023, la dott.ssa __________, spec. in neurologia curante, ha sostenuto in particolare che “…, tenuto conto delle plurime problematiche conseguenti il trauma cranico severo su caduta avvenuto il 28.04.2020, il paziente presenta plurime difficoltà: da una parte vi è un’importante instabilità e disturbo dell’equilibrio non presenti in precedenza e per cui il paziente è stato anche valutato in passato dal Dr. med. __________ e seguito dal Dr. med. __________ che ci legge in copia, per cui ha anche effettuato un trattamento riabilitativo specifico; vi è inoltre il deficit motorio residuo alla mano sinistra che limita il paziente nell’attività lavorativa ed il problema psichiatrico correlato al trauma. L’insieme di tutte queste problematiche determina a mio parere una importante limitazione del paziente nell’attività lavorativa, per quanto concerne il settore edile. Come già ribadito a più riprese in precedenza, risulta a mio parere impensabile riproporre al paziente di riprendere l’attività lavorativa quale muratore o gruista visti i problemi sopraccitati, per cui certifico nuovamente da parte mia un’inabilità lavorativa del 100% fino al 04.10.2023.” (doc. 362). Nel novembre 2023, il ricorrente è stato valutato dal profilo neuropsicologico presso la Clinica __________. Dal relativo rapporto, datato 14 novembre 2023, si evince che egli ha presentato dei deficit di memoria a lungo termine verbale, un rendimento deficitario ad un test di attenzione sostenuta, sul piano esecutivo un risultato deficitario ad un test della fluenza non verbale, nonché un risultato deficitario ad un test di ragionamento non verbale e una prestazione al limite della norma ad un test di memoria di lavoro verbale e alla copia della figura complessa. La neuropsicologa ha peraltro precisato che ai test di validazione del deficit di memoria, il test del 15 item è risultato al limite della norma, mentre il TOMM è rimasto deficitario "… e perciò compatibile con un’accentuazione dei disturbi di memoria” (doc. 411). A cavallo tra il 2023 e il 2024, RI 1 ha privatamente consultato il dott. __________, spec. FMH in neurologia. Lo specialista ha diagnosticato una sintomatologia aspecifica di disturbo della concentrazione e riduzione delle capacità cognitive di sospetta pertinenza leucoencefalopatica e di amiloidosi cerebrale, uno stato dopo trauma cranico severo su caduta del 28 aprile 2020 e uno stato dopo grave trauma cranico su incidente nel 1987. Questo in particolare il tenore delle sue conclusioni: " (…) Si aggiunge alla discussione un ulteriore elemento emerso dalla ripetizione dell’esame di risonanza magnetica nucleare, che ha mostrato un aumento numerico delle lesioni microemorragiche e dei depositi emosiderinici, nonché dei segnali relativi a leucoencefalopatia sottocorticale, che potrebbe evocare in diagnosi differenziale una possibile angiopatia amiloide, che potrebbe anche essere la causa dei disturbi della concentrazione e dei problemi neuropsicologici riferiti dal paziente e oggettivati agli esami neuropsicologici (vedi ultimo recente del novembre 2023). Questa situazione non sarebbe però una problematica secondaria all’evento traumatico, ma piuttosto una malattia primaria degenerativa del sistema nervoso centrale, che potrebbe precludere ulteriormente le capacità lavorative e soprattutto di reinserimento professionale del signor RI 1. A questo scopo domando gentilmente alla Dr.ssa med. __________, neurologa curante del paziente di voler riprendere e rivalutare la situazione in questi termini e procedere con eventuali ulteriori esami di verifica e conferma ed eventuali proposte di aiuto o sollievo terapeutico. Riassumendo ritengo il Sig. RI 1 inabile in modo duraturo e in modo completo alla sua precedente professione di muratore e gruista. Esistono capacità fisiche e psicofisiche residue che rendono verosimile un’attività lavorativa con capacità residua dell’85%. Sarebbe però necessario tenere in considerazione la necessità di un lavoro leggero senza necessità di sollevare pesi importanti, spostarsi su terreni irregolari e che non necessiti di un rilevante o impegnativo processo di riqualifica. In conclusione ritengo sia necessario anche sollecitare una presa di posizione da parte dell’assicurazione invalidità, non vi sono invece a mio avviso particolari nuovi elementi che possono portare l’assicurazione infortuni CO 1 ad una rivalutazione del caso.” (doc. 412) Invitata dall’amministrazione a pronunciarsi in merito all’affermazione, contenuta nel referto del dott. __________, secondo cui il peggioramento uditivo intervenuto nel 2020 “… ha un nesso causale con il trauma avuto” in quanto “… non c’è stato dopo l’incidente del 2020 alcun ulteriore peggioramento dovuto a una degenerazione a livello dell’orecchio interno” (doc. 412, p. 3), la dott.ssa __________, spec. FMH in ORL, ha ribadito che gli audiogrammi tonali eseguiti nel 2005 e 2017 avevano già evidenziato un’asimmetria uditiva a danno dell’orecchio destro, circostanza che documenta la preesistenza di un’ipoacusia a destra. A ciò nulla può mutare il rapporto del dott. __________ (cfr. doc. III 1). Nei mesi di maggio – agosto 2024, l’insorgente è stato sottoposto ad approfondimenti diagnostici presso la Clinica di neurologia dell’__________. Dall’ultimo rapporto che è stato prodotto in corso di causa, quello relativo alla visita del 26 agosto 2024, risultano segnatamente le seguenti considerazioni: " (…) Brevemente, ricordiamo che il paziente presenta una moderata compromissione cognitiva polisettoriale in progressione dopo un trauma cranico avvenuto 4 anni fa e il controllo di RMN cerebrale ha evidenziato un aumento dei depositi emosiderinici rispetto al precedente esame del 2021, suggerendo la possibilità di una patologia da accumulo anomalo dell’amiloide, come indicato anche dal valore basso della beta-amiloide riscontrato nel liquor (e minimo aumento della tau con fosfo-tau normale). Il risultato dell’esame FDG-PET, infine, ha fornito informazioni aggiuntive, orientando verso il sospetto di patologia neurodegenerativa concomitante agli esiti del trauma cranico. Abbiamo discusso i risultati finora ottenuti con il paziente e la compagna, e abbiamo valutato insieme la possibilità di ulteriori approfondimenti mediante tau PET, vista la giovane età e la complessità del quadro. L’esecuzione di questo esame, attualmente disponibile solo in fase di ricerca presso l’Ospedale di __________, è una possibilità su cui i signori desiderano riflettere ulteriormente. Per quanto riguarda, infine, la relazione al trauma cranico pregresso, non possiamo escludere possibile correlazioni con il disturbo cognitivo attuale, anche se la concomitanza cronologica dei disturbi con l’evento traumatico non esclude altre possibili eziologie concorrenti allo stesso. I riscontri attuali paraclinici fanno pensare, in conclusione, a una possibile biologia alzheimeriana con interessamento dei vasi, la cui entità clinica associata è da verificare nel tempo. La focalizzazione attuale del paziente e dei familiari impediscono, al momento attuale, una presa a carico completa riguardo il sospetto degenerativo che sarà da riprendere in discussione, una volta concluso il percorso assicurativo. In ogni caso non avremmo al momento indicazioni terapeutiche se non la presa a carico ergoterapica e psicologica dei disturbi.” (doc. J 4) 2.3.7.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2.3.8.  Nel caso di specie, questa Corte rileva innanzitutto che l’amministrazione ha incaricato il __________ di periziare l’assicurato, nel rispetto della procedura di cui all’art. 44 LPGA. Il rappresentante del ricorrente ha infatti potuto pronunciarsi sulla necessità in quanto tale della perizia, sui periti proposti e sul catalogo dei quesiti da sottoporgli (cfr. doc. 288 e 291).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questo Tribunale ritiene di poter fare capo all’apprezzamento espresso dagli esperti amministrativi, secondo il quale soltanto i deficit interessanti la mano sinistra e le turbe psichiche vanno considerati delle conseguenze naturali dell’evento traumatico dell’aprile 2020. Si tratta infatti di una valutazione approfondita e convincente, fondata su una minuziosa ricostruzione dei dati anamnestici che sono emersi dagli atti a loro disposizione. In questo senso, il TCA evidenzia che dalla restante documentazione medica agli atti, segnatamente da quella che è stata prodotta successivamente alle consultazioni peritali (e che quindi non ha potuto essere oggetto di analisi da parte degli esperti del __________) (cfr. supra , consid. 2.3.6.), non emergono indizi concreti atti a far dubitare della correttezza della valutazione espressa dai dottori __________, __________, __________ e __________. Trattandosi innanzitutto del rapporto 10 luglio 2023 della dott.ssa __________ (doc. 362), la neurologa curante ha sì dichiarato che i disturbi denunciati dall’assicurato sarebbero “conseguenti” al trauma cranico del 28 aprile 2020. Tuttavia, nel dettaglio, per quanto riguarda l’instabilità e il disturbo dell’equilibrio, il fatto che tali problematiche sarebbero insorte soltanto dopo l’infortunio, è irrilevante ai fini della determinazione della loro eziologia. Infatti,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8C_321/2024 dell’11 ottobre 2024 consid. 5.3; 8C_245/2017 dell’8 agosto 2017; 8C_230/2017 del 22 giugno 2017). A proposito del deficit motorio alla mano sinistra e delle turbe psichiche, va rilevato come gli stessi periti amministrativi ne abbiano riconosciuto l’origine infortunistica (cfr. supra , consid. 2.3.4.). Gli ulteriori referti della dott.ssa __________, prodotti in corso di causa, appaiono irrilevanti ai fini del giudizio, nella misura in cui non contengono elementi utili alla valutazione della causalità naturale (cfr. doc. C e doc. I 1). D’altro canto, per quanto riguarda il referto 15 febbraio 2024 del dott. __________ (doc. 412), lo specialista in neurologia privatamente consultato dall’insorgente ha concentrato la propria valutazione piuttosto sull’eziologia delle difficoltà cognitive evidenziate dal ricorrente, relativamente alle quali ha auspicato accertamenti più approfonditi (poi effettivamente compiuti presso la Clinica di neurologia dell’__________ e di cui si dirà meglio in seguito), precisando al riguardo che, qualora essi avessero confermato l’ipotesi di una angiopatia amiloide, quest’ultima “… non sarebbe però una problematica secondaria all’evento traumatico, ma piuttosto una malattia primaria degenerativa del sistema nervoso centrale, …”. In merito all’ipoacusia bilaterale - alla quale la dott.ssa ____________ ha negato l’eziologia infortunistica a fronte della sua comprovata preesistenza - dal rapporto in discussione si evince che il dott. __________, affermando che “il peggioramento uditivo avvenuto nel 2020 ha un nesso causale con il trauma avuto” (doc. 412, p. 3), ha in realtà ripreso un precedente parere del dott. __________, senza però condividerlo, visto che ha concluso il proprio referto dichiarando che non sono emersi “… particolari nuovi elementi che possono portare l’assicurazione infortuni CO 1 a una rivalutazione del caso.”. Ad ogni modo, non può essere ignorato che, a prescindere dalla sua eziologia, la riduzione dell’udito non necessita di particolari provvedimenti terapeutici, né ha un’incidenza sulla capacità lavorativa residua dell’assicurato (cfr. doc. 359, p. 58 s.). A proposito infine dei rapporti della Clinica di neurologia dell’__________, in particolare di quello datato 27 agosto 2024, in cui è contenuta una sintesi delle risultanze degli accertamenti compiuti nel frattempo (cfr. doc. J 4), per quanto qui d’interesse, gli specialisti hanno dichiarato di non poter escludere possibili correlazioni tra il trauma cranico del 2020 e i disturbi neuropsicologici lamentati dall’assicurato, precisando inoltre che i riscontri paraclinici fanno pensare “… a una possibile biologia alzheimeriana con interessamento dei vasi, …”, quindi a una patologia di natura morbosa. Al riguardo, questo Tribunale condivide quanto sostenuto dall’istituto convenuto con l’allegato del 15 ottobre 2024, ovvero che il contenuto dei referti dell’__________ non consente di “ammettere che i disturbi cognitivi presentati dall’assicurato sono riconducibili secondo il criterio della probabilità preponderante almeno all’infortunio del 28.4.2020.” (doc. XVI). In esito a tutto quanto precede, è accertato,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neurologici (comprendenti anche quelli neuropsicologici ma fatta eccezione per quelli che interessano la mano sinistra ), uditivi, vestibolari e visivi non si trovano in un nesso di causalità naturale con l’infortunio dell’aprile 2020, rispettivamente che il deficit all’estremità superiore sinistra e i disturbi psichici, costituiscono invece una conseguenza naturale di quello stesso evento. 2.3.9.  Va rilevato che l’amministrazione potrebbe essere tenuta a rispondere delle turbe psichiche soltanto se esse costituissero una conseguenza (anche) adeguata dell’evento traumatico assicurato (in questo senso, cfr. supra , consid. 2.3.3.). Chiamata a pronunciarsi in merito all’adeguatezza, questa Corte deve anzitutto stabilire se il relativo esame debba avvenire in base alla prassi sviluppata nella DTF 117 V 359 e precisata nella DTF 134 V 109 a proposito dei traumi d’accelerazione cervicale oppure secondo i criteri applicabili in caso di evoluzione psichica abnorme conseguente a infortunio (DTF 115 V 133). Al riguardo, va constatato che le parti sono concordi nel ritenere applicabile la giurisprudenza di cui alla DTF 115 V 133 (cfr. doc. 383, p. 3: “La nostra valutazione si rifà alla decisione del Tribunale federale (DTF) 115 V 133” e doc. I, p. 9: “…, torna applicabile la psico-prassi ed i criteri definiti dal TF”), opinione che può essere condivisa dal TCA, posto che dalla valutazione della psichiatra dott.ssa __________ emerge che, tenuto conto del ruolo giocato dai fattori psichici e psicosociali concomitanti al trauma, rispettivamente degli effetti della prolungata assunzione di benzodiazepine, la problematica psichica insorta dopo il sinistro in discussione appare piuttosto come un danno alla salute distinto e indipendente dal quadro clinico tipico consecutivo a un trauma cranio-cerebrale (su questo aspetto, cfr. supra , consid. 2.3.4. in fine). 2.3.10.  Nel valutare l'adeguatezza del legame causale, si deve in primo luogo procedere alla classificazione dell’evento occorso all’assicurato il 28 aprile 2020. Dal verbale d’audizione del 17 giugno 2020 risulta quanto segue in merito alla dinamica dell’infortunio: " (…) Mi ricordo che stavo lavorando a __________, su di un cantiere e stavo per affrontare una scala di cemento, lunga circa 3 metri, quando ero inciampato e caduto in avanti. Non ricordo se stavo salendo o scendendo. Ero finito per picchiare la testa sui gradini della scala, in particolare ho sbattuto con la fronte, sopra l’arcata sopraciliare a sinistra e poco più sopra, nella parte alta della fronte, verso il lato destro della fronte. Non rammento di aver tentato di proteggermi dalla caduta, presumo di no, visto che ho battuto la testa (e mi sono pure procurato una ferita aperta, che sanguinava). Accasciato sui gradini ero stato soccorso dal mio collega, sig. __________, che sembra mi abbia visto cadere. I miei ricordi sull’evento riprendono proprio da quel momento, in cui il collega mi sorreggeva e mi diceva di stare calmo, quando ancora mi trovavo sui gradini. Lui mi aveva aiutato a rialzarmi e mi aveva poi accompagnato al Pronto Soccorso dell’Ospedale __________. Sul cantiere non era intervenuta la Polizia. Contattato dal consulente CO 1 il collega (…) sono ora a conoscenza che quel giorno si stava lavorando per costruire dei muri in sasso. Io mi stavo dirigendo al piano superiore del cantiere, salendo appunto la scala in cemento, per andare a cercare dove raccordare la canna dell’acqua alla condotta. Indossavo il casco di protezione. Quel giorno pioveva un po' e la scala era forse leggermente scivolosa, anche a seguito della terra sotto le nostre scarpe. Fatto sta che nel salire i primi gradini inciampavo o scivolavo, cadendo in avanti e battendo la testa sui gradini e finendo poi la mia caduta rivolto bocconi a lato della scala, con le gambe e il bacino ancora sui gradini, mentre con la testa ero finito sul terreno (circa 60 cm sotto). Il casco era saltato via con il colpo sui gradini. Avevo infatti salito forse tre gradini. Non sono caduto da tre metri, come erroneamente indicato nei referti radiologici dell’ospedale, probabilmente a seguito di una cattiva interpretazione della spiegazione data dal mio collega in pronto soccorso.” (doc. 18, p. 2) Da quanto appena esposto si evince che l’insorgente è in sostanza caduto in avanti dalla propria altezza, mentre saliva i primi gradini di una scala in cemento ed ha battuto il viso contro di essi. Secondo la giurisprudenza, per classificare l’infortunio in una delle tre categorie, ci si deve unicamente fondare , da un punto di vista oggettivo ,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 cfr. SVR 2023 UV n. 37 p. 131, 8C_698/2022 consid. 6.2 con riferimenti; DTF 140 V 356 consid. 5.1; STF 8C_596/2022 dell’11 gennaio 2023 consid. 4.4.1 e riferimenti; 8C_663/2019 del 9 giugno 2020 consid. 4.3.2; 8C_567/2017 del 12 marzo 2018 consid. 5.1 e riferimenti). Tenuto conto della dinamica del sinistro in oggetto, il TCA ritiene che l’assicurato sia rimasto vittima di un infortunio di media gravità al limite di quelli leggeri . A titolo di confronto, va segnalato che l’Alta Corte federale ha proceduto a un’identica classificazione nella sentenza 8C_649/2021 del 29 settembre 2022 consid. 4.3, concernente un’assicurata che era scivolata sul marciapiede gelato e aveva battuto a terra la guancia sinistra procurandosi una frattura pluriframmentaria delle tre pareti del seno mascellare e del pavimento dell’orbita sinistra, in quella 8C_277/2019 del 22 gennaio 2020 consid. 4, riguardante un assicurato che, nel trasportare un radiatore, era inciampato su dei tubi ed era caduto all’indietro, riportando una frattura da compressione della limitante superiore del corpo vertebrale di L3 con inclusione discale, come pure in quella 8C_355/2007 del 16 maggio 2008 consid. 3.4, concernente la passeggera di un bus che, a causa di una brusca frenata del mezzo, aveva battuto il viso contro una parete di vetro, lamentando contusioni multiple e una distorsione del rachide cervicale. Il TFA (dal 1° gennaio 2007: TF) ha considerato addirittura di grado leggero l’evento traumatico in cui un’assicurata, nel praticare l’inlineskate, era caduta battendo a terra la schiena e la testa (cfr. STFA U 345/04 del 18 ottobre 2005 consid. 2.2), come pure quello in cui un muratore, che con la mano destra trasportava una cassetta per gli attrezzi e in quella sinistra un rotolo di cavo, era scivolato su un pezzo di polistirolo e aveva perso l’equilibrio (cfr. STFA U 66/05 del 17 agosto 2005 consid. 6.3). In quest’ultima pronunzia, la Corte federale ha ricordato di aver pure giudicato leggero l’inciampare e cadere per strada battendo faccia e ginocchio per terra (STFA U 367/01 del 21 marzo 2003) e lo scivolare su una lastra di ghiaccio, il cadere sulla schiena e il battere la testa per terra (STFA U 78/02 del 25 febbraio 2003, parzialmente pubblicata in SVR 2003 UV n. 12 p. 35 ss.). Da notare ancora che, in una sentenza 35.2022.59 del 14 novembre 2022 consid. 2.7.2, cresciuta incontestata in giudicato, il TCA ha qualificato di media gravità al limite di quelli leggeri, l’infortunio in cui un’assicurata era inciampata in un piede di marmo che sporgeva dal marciapiede, si era vista catapultata in avanti e aveva battuto la faccia contro un secondo piede sporgente, riportando un grave traumatismo facciale accompagnato da diverse ferite lacero-contuse e fratture, come pure il peggioramento transitorio di una preesistente mielopatia C4/C5. Al rappresentante dell’assicurato che pretende che quest’ultimo sarebbe rimasto vittima di un infortunio di media gravità al limite della categoria superiore (cfr. doc. I, p. 6), si segnala che la giurisprudenza federale riserva quella classificazione a cadute da altezze decisamente maggiori , tra i 5 e gli 8 metri (per una casistica della giurisprudenza in materia di cadute, si veda ad esempio la STF 8C_427/2022 del 28 febbraio 2023 consid. 6.2.3, pubblicata in: SVR 7/2023 UV n. 26 p. 85 ss.). In presenza di un infortunio di media gravità al limite della categoria inferiore, il giudice è tenuto a valutare le circostanze connesse con l’infortunio, secondo i criteri elaborati dal Tribunale federale e qui evocati al consid. 2.3.3. Per ammettere l’adeguatezza del nesso causale, è necessario che un fattore fosse presente in maniera particolarmente incisiva oppure l’intervento di più criteri. In una sentenza 8C_897/2009 del 29 gennaio 2010 consid. 4.5, pubblicata in SVR 10/2010 UV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Alla luce della casistica in materia di cadute, l'evento occorso all'insorgente non risulta né particolarmente drammatico né spettacolare per come si è svolto. Da un punto di vista oggettivo, si è trattato in effetti di una caduta piuttosto banale.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(STF 8C_560/2015 del 29 aprile 2016, consid. 4.4.1 e rinvii; DTF 137 V 199 consid. 3.5.1 non pubblicato). Occorre considerare la dinamica dell'infortunio in quanto tale e non il danno alla salute che ne è conseguito. Non si tiene conto del successivo processo di guarigione (STF 8C_738/2011 del 3 febbraio 2012, consid. 7.3.1). Per quanto concerne il fattore della gravità o della particolare caratteristica delle lesioni riportate , secondo gli specialisti del __________, in occasione dell’infortunio dell’aprile 2020, l’insorgente ha riportato un trauma cranio-cerebrale con emorragia subaracnoidea diffusa in sede frontale precentrale destra e alla convessità e in sede parasagittale, completamente riassorbita alla TAC cerebrale del 20 maggio 2020. Egli ha quindi sviluppato una complessa sintomatologia, comprensiva anche di disturbi psichici, risultata in gran parte (fatta eccezione, come visto, per un deficit motorio alla mano sinistra, descritto come una debolezza [“ Schwäche der linken Hand ”] ) estranea all’evento assicurato. Dagli atti di causa si evince inoltre che sul luogo dell’infortunio non sono intervenuti i primi soccorsi e che il ricorrente è stato accompagnato all’Ospedale __________ da un collega. La degenza iniziale è durata due soli giorni (28 e 29 aprile 2020). All’ingresso, il Glasgow Coma Score (GCS) era di 15, quindi l’assicurato era totalmente cosciente, e non presentava alcun deficit neurologico focale (cfr. doc. 12). A proposito del criterio in questione, la giurisprudenza ha precisato che il fatto che le conseguenze infortunistiche abbiano costretto l’assicurato a cambiare professione, non basta per ritenerlo soddisfatto. È necessaria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Stante tutto quanto precede, secondo il TCA, in concreto non si può dunque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8C_598/2020 del 3 dicembre 2020 consid. 10.2). Pure inadempiuto è il criterio della cura medica errata che aggrava notevolmente gli esiti dell'infortunio . Dalla documentazione a disposizione non emerge infatti alcun elemento a favore di una cura errata delle sequele infortunistiche di natura organica. Questo Tribunale ritiene che non si possa neppure sostenere che la cura medica dipendente dall'evento infortunistico sia stata eccezionalmente lunga . Dagli atti di causa emerge infatti che, a parte l’iniziale degenza (28 – 29 aprile 2020) presso il Servizio di neurochirurgia dell’Ospedale __________, nel corso della quale il ricorrente è stato sottoposto a sorveglianza neurologica e a provvedimenti conservativi (cfr. doc. 12) e il soggiorno 10 settembre-15 ottobre 2020 presso la Clinica di __________ volto alla sua riabilitazione neurologica (cfr. doc. 146), le cure prestategli si sono tutte svolte su base ambulatoriale e sono consistite essenzialmente in accertamenti diagnostici (clinici e strumentali), in visite ambulatoriali di controllo (specialistiche e non), nell’assunzione di farmaci analgesici/antinfiammatori, antidepressivi/ansiolitici e contro le vertigini, così come nell’esecuzione di fisioterapia, di ergoterapia e di psicoterapia.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Il TCA può esimersi dall’approfondire oltre se potrebbero essere soddisfatti i criteri dei disturbi somatici persistenti e del grado e la durata dell'incapacità lavorativa , in quanto, anche se ciò dovesse essere il caso, la realizzazione di due criteri nella forma semplice non basterebbe comunque per ammettere l’adeguatezza, in presenza di un infortunio di media gravità al limite della categoria inferiore. 2.3.11.  Sulla scorta di tutto quanto precede, si deve dunque concludere che le turbe psichiche che presenta RI 1, non costituiscono una conseguenza adeguata dell’evento traumatico assicurato, di modo che l’istituto convenuto era legittimato a non tenerne conto per determinare l’ulteriore diritto alle prestazioni. 2.4. Estinzione del diritto alle prestazioni di corta durata (cura medica + indennità giornaliera) al 28 febbraio 2022? 2.4.1.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 Corte federale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2.4.2.  In precedenza, questo Tribunale ha accertato che soltanto i disturbi interessanti la mano sinistra costituiscono una conseguenza naturale e adeguata dell’infortunio occorso il 28 aprile 2020 (cfr. supra , consid. 2.3.8. e 2.3.11.). Ora, dalle carte processuali, in particolare dalla perizia amministrativa, non risulta, e del resto nemmeno lo pretende il patrocinatore del ricorrente, che al momento in cui l’istituto assicuratore resistente ha posto fine alle prestazioni di corta durata (28 febbraio 2022), esistessero ancora delle misure terapeutiche suscettibili di migliorare notevolmente lo stato della mano sinistra ai sensi dell’art. 19 cpv. 1 LAINF. Stante quanto precede, la decisione su opposizione impugnata deve dunque essere confermata anche nella misura in cui l’CO 1 ha dichiarato estinto il diritto alla cura medica e all’indennità giornaliera a contare dal 1° marzo 2022. 2.5. Diritto a una rendita d’invalidità a far tempo dal 1° marzo 2022?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Nel caso di specie, dalla decisione formale del 3 ottobre 2023 risulta che l’CO 1 ha definito l’esigibilità lavorativa dell’assicurato alla base del rifiuto di assegnargli una rendita d’invalidità, fondandosi sulla relativa valutazione espressa dagli specialisti del __________ (cfr. doc. 383, p. 3). In effetti, rispondendo ai quesiti posti loro, i periti amministrativi hanno dichiarato che, considerando i soli disturbi somatici causati dell’infortunio, l’insorgente non è più in grado di svolgere la sua abituale professionale di muratore. Per contro, dopo riduzione, rispettivamente sospensione delle benzodiazepine, tenuto conto dei disturbi somatici e psichici e senza considerare le difficoltà cognitive (a loro avviso, non valutabili validamente), egli potrebbe lavorare in misura del 100% in un’attività adeguata (“ Angepasste Arbeiten sind vollschichtig möglich. ”). Dal punto di vista somatico, sarebbero pienamente esigibili delle attività da leggere a, di tanto in tanto, medio-pesanti. In particolare, non entrano più in linea di conto mansioni manuali che richiedono una piena forza, rispettivamente attività che implicano la motricità fine della mano sinistra e/o il regolare trasporto/sollevamento di pesi superiori ai 10 kg, come pure attività su ponteggi con rischio di caduta (cfr. doc. 358, p. 15 s.). Con la propria impugnativa, il rappresentante del ricorrente contesta che al referto peritale del __________ possa essere attribuito pieno valore probatorio, posto che, secondo il parere del neurologo dott. __________, la capacità lavorativa residua in attività sostitutive sarebbe dell’85% (cfr. doc. I, p. 8). 2.5.4.  Attentamente vagliato l’insieme della documentazione a sua disposizione, questo Tribunale ritiene che la perizia del __________ possa validamente costituire da base al giudizio che è ora chiamato a rendere, anche per quanto concerne l’aspetto dell’esigibilità lavorativa. In primo luogo, il TCA rileva che il fatto che i periti amministrativi abbiano valutato la capacità lavorativa residua facendo astrazione dai disturbi neuropsicologici, si è rivelato corretto alla luce degli accertamenti compiuti presso la Clinica di neurologia dell’__________, i quali non consentono di riconoscere l’esistenza di un nesso di causalità naturale almeno probabile con l’infortunio dell’aprile 2020 (cfr. supra , consid. 2.3.8.). D’altra parte, l’apprezzamento degli specialisti __________ appare tanto più corretto se si considera che le turbe psichiche, da loro reputate trovarsi in una relazione causale naturale con il sinistro assicurato (e, perciò, prese in considerazione nella definizione dell’esigibilità lavorativa), in realtà non andavano considerate, in quanto non costituiscono una conseguenza adeguata di quell’evento (cfr. supra , consid. 2.3.11.). Inoltre, la circostanza secondo la quale la messa a frutto della capacità lavorativa residua sembrerebbe dipendere dalla riduzione, rispettivamente dalla sospensione delle benzodiazepine, è irrilevante ai fini del giudizio, nella misura in cui riguarda l’aspetto psichico, di cui l’CO 1 non può essere tenuto a rispondere. Infine, l’esistenza di una piena abilità lavorativa in attività sostitutive adeguate risulta plausibile anche alla luce dei precedenti giurisprudenziali riportati qui di seguito, riguardanti assicurati che lamentavano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non dominante.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non 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non 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449/00, U 200/02 e 35.2017.10 , va ritenuto dimostrato con un sufficiente grado di verosimiglianza che il ricorrente sarebbe in grado di esercitare, a tempo pieno e con un rendimento completo, un’attività lavorativa confacente alle limitazioni dipendenti dal danno infortunistico riguardante l’estremità superiore sinistra. Trattandosi del rapporto 15 febbraio 2024 del dott. __________ (doc. 412), egli ha affermato di ritenere l’assicurato “inabile in modo duraturo e in modo completo alla sua precedente professione di muratore e gruista. Esistono capacità fisiche e psicofisiche residue che rendono verosimile un’attività lavorativa con capacità residua al 85%. Sarebbe però necessario tenere in considerazione la necessità di un lavoro leggero senza necessità di sollevare pesi importanti, spostarsi su terreni irregolari e che non necessiti di un rilevante o impegnativo processo di riqualifica.”. Al proposito, va osservato che il neurologo privatamente consultato dal ricorrente ha indicato che, tenuto conto soprattutto dell’insicurezza alla stazione eretta, dell’ipoacusia e del disturbo di motricità all’estremità superiore sinistra, l’CO 1 avrebbe ammesso “una diminuzione irreversibile della capacità lavorativa del 15%” e ha concluso la propria disamina sottolineando che “non vi sono (…) a mio avviso particolari nuovi elementi che possono portare l’assicurazione infortuni CO 1 ad una rivalutazione del caso”. Tutto ben considerato, questa Corte non ritiene che quanto fatto valere dal dott. __________ possa assurgere ad indizio concreto suscettibile di far dubitare della correttezza dell’apprezzamento enunciato dai medici del __________. Da un lato, i soli disturbi ammessi in nesso di causalità con l’infortunio dell’aprile 2020 (e, pertanto, gli unici da considerare nella valutazione dell’esigibilità lavorativa), sono quelli riguardanti la mano sinistra. Dall’altro, il 15% riconosciuto dall’assicuratore corrisponde in realtà alla menomazione dell’integrità per il deficit alla mano sinistra (cfr. doc. 375), aspetto che nulla ha a che vedere con la capacità lavorativa. Per quanto concerne il referto 10 luglio 2023 della dott.ssa __________ (doc. 362), la neurologa curante si è limitata a sostenere che l’insorgente non è più idoneo a svolgere la professione di muratore e gruista, ciò che anche l’amministrazione pacificamente ammette, non pronunciandosi invece sulla capacità di esercitare un’attività alternativa adeguata. Sulla scorta di quanto precede, occorre ritenere accertato, perlomeno con il grado di verosimiglianza richiesto dalla giurisprudenza federale, che il ricorrente sarebbe in grado di svolgere, a tempo pieno e con un rendimento completo, un’attività lavorativa che rispetti le limitazioni funzionali indicate dagli esperti amministrativi. 2.5.5.  Trattandosi degli aspetti economici legati alla determinazione del grado dell’invalidità, va constatato che il rappresentante del ricorrente non ha sollevato alcuna specifica obiezione a proposito delle modalità con cui l’istituto assicuratore resistente ha determinato i redditi ipotetici (reddito da valido [fr. 71’020/anno] e da invalido [fr. 66'073/anno] - cfr. doc. 379) (cfr. doc. I). Questa Corte non ha pertanto validi motivi per discostarsene. Ora, raffrontando il reddito da valido di fr. 71’020 con quello da invalido di fr. 66'073, si ottiene un grado d’invalidità del 6.9%, arrotondato al 7% secondo la giurisprudenza di cui alla DTF 130 V 121, inferiore alla soglia minima legale prevista dalla legge (cfr. art. 18 cpv. 1 LAINF). La decisione su opposizione impugnata mediante la quale all’assicurato è stato negato il diritto a una rendita d’invalidità, non presta dunque il fianco a critiche.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