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35.2024.27 vom 15. Juli 2024</w:t>
      </w:r>
    </w:p>
    <w:p>
      <w:r>
        <w:t>TI Tribunale d'appello, 2024-07-15, IT</w:t>
      </w:r>
    </w:p>
    <w:p>
      <w:r>
        <w:rPr>
          <w:b/>
        </w:rPr>
        <w:t xml:space="preserve">Quelle: </w:t>
      </w:r>
      <w:r>
        <w:t>https://mcp.opencaselaw.ch/entscheid/ti_gerichte_35.2024.27</w:t>
      </w:r>
    </w:p>
    <w:p>
      <w:r>
        <w:t>FR: TI_GERICHTE 35.2024.27 du 15 juillet 2024</w:t>
      </w:r>
    </w:p>
    <w:p>
      <w:r>
        <w:t>IT: TI_GERICHTE 35.2024.27 del 15 luglio 2024</w:t>
      </w:r>
    </w:p>
    <w:p>
      <w:pPr>
        <w:pStyle w:val="Heading2"/>
      </w:pPr>
      <w:r>
        <w:t>Regeste</w:t>
      </w:r>
    </w:p>
    <w:p>
      <w:r>
        <w:t>Nella misura in cui assicurato non contesta rifiuto della rendita, oggetto della decisione impugnata (calcolato col raffronto dei redditi tenuto conto della piena CL in attività adatte), ma richiede solo di essere ritenuto ancora abile al 50% nella sua professione, la sua domanda è irricevibile</w:t>
      </w:r>
    </w:p>
    <w:p>
      <w:pPr>
        <w:pStyle w:val="Heading2"/>
      </w:pPr>
      <w:r>
        <w:t>Erwägungen</w:t>
      </w:r>
    </w:p>
    <w:p>
      <w:r>
        <w:rPr>
          <w:b/>
        </w:rPr>
        <w:t>E. 26</w:t>
      </w:r>
    </w:p>
    <w:p>
      <w:r>
        <w:t>ottobre 1999. Vedi pure: STF 9C_807/2014 del 9 settembre 2015; STF 9C_585/2014 dell’8 settembre 2015). nel merito 2.2.  Nel caso in esame l’CO 1, con decisione formale del 12 gennaio 2024, ha rifiutato di assegnare una rendita di invalidità, attribuendo un’indennità per menomazione dell’integrità del 7.5% (cfr. doc. 113). L’insorgente, con l’opposizione, ha contestato sia il grado di invalidità calcolato dall’amministrazione, a suo parere superiore al 10%, e l’entità dell’IMI, da fissare, a suo avviso, tra il 10% e il 25%. L’Istituto assicuratore convenuto, con decisione su opposizione del 20 febbraio 2024, impugnata davanti al TCA, ha confermato che il ricorrente ha diritto un’IMI del 7.5%, mentre non ha diritto ad una rendita di invalidità (cfr. doc. A1). 2.3.  Con il ricorso, l’insorgente ha espressamente evidenziato di non contestare il grado di invalidità calcolato dall’amministrazione, né di pretendere l’attribuzione di una rendita, rivendicando unicamente che gli venga riconosciuta una abilità lavorativa del 50%-60% nella sua abituale professione di chef/cuoco, così da poter trovare un’occupazione in tale ambito, prima della pensione. In sede di risposta di causa, l’amministrazione ha chiesto che tale pretesa dell’assicurato venga considerata irricevibile o, in subordine, che venga rifiutata. 2.4.  Chiamato a pronunciarsi, questo Tribunale sottolinea come oggetto del presente ricorso sia solo la questione di sapere se l’CO 1 abbia correttamente o meno rifiutato all’assicurato una rendita di invalidità, così come stabilito nella decisione su opposizione qui impugnata. È infatti la decisione che determina l’oggetto dell’impugnazione (cfr. STF 9C_636/2015 del 2 febbraio 2016, consid. 1 con riferimenti) . In casu, come visto, l’CO 1, procedendo al raffronto tra il reddito da valido statistico nel settore della ristorazione (dato che al momento dell’infortunio l’assicurato lavorava quale cuoco a tempo determinato) di 59’542 e quello da invalido nello svolgimento di attività adatte ancora esigibili al 100% di 65'050, ha stabilito che il discapito economico patito dall’interessato a seguito dell’infortunio è nullo, ciò che non consente quindi di attribuire il diritto ad una rendita di invalidità (doc. 113). L’assicurato non ha contestato né la valutazione di una piena esigibilità lavorativa in attività adatte, rispettose delle sue limitazioni funzionali, posta alla base del calcolo del grado di incapacità al guadagno, né il relativo risultato. Egli non ha, in particolare, prodotto alcun referto medico che possa mettere in dubbio le conclusioni in termini di esigibilità alle quali è giunto il medico fiduciario dell’Istituto assicuratore in occasione della visita medica dell’8 novembre 2023 (doc. 113/5). Come unica richiesta ricorsuale egli ha solo preteso che venga riconosciuta la sua parziale abilità lavorativa nell’abituale professione di chef/cuoco. Ora, come del resto correttamente indicato dall’CO 1 nella risposta di causa , dal momento che la decisione impugnata delimita il litigio e che l’assicurato non ne contesta il contenuto , la pretesa dell’interessato deve essere considerata irricevibile . Essendo il grado di invalidità un concetto economico e dovendo tenere conto dell'obbligo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a ragione l’Istituto assicuratore, nel calcolare il grado di invalidità, ha considerato la piena abilità lavorativa dell’interessato in attività adeguate, rispettose delle sue limitazioni funzionali. A tale riguardo, va ricordato che il concetto d’invalidità è riferito a un mercato del lavoro equilibrato e, quindi, ad un mercato del lavoro strutturato in modo tale da offrire una gamma di posti di lavoro diversificati. Inoltre gli impedimenti ritenuti dal medico fiduciario amministrativo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Quanto alle asserite difficoltà riscontrate dall’assicurato nel reperimento di un’occupazione adeguata alle proprie limitazioni funzionali, a causa della sua età e dell’inesperienza al di fuori del settore della ristorazione, così come diffusamente illustrato in sede ricorsuale, il TCA rileva che tali fattori extra-infortunistici non influiscono sul calcolo del grado di invalidità. La difficoltà concreta di reperimento di posti di lavoro dovuta all’eccedenza della domanda viene infatti assicurata dall’assicurazione contro la disoccupazione (DTF 110 V 276 consid. 4c; RCC 1991 pag. 332 consid. 3b; P. Omlin, Die Invalidität in der obligatorischen Unfallversicherung, Friborgo 1995, pag. 83). A proposito dell’età, inoltre,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in merito alla ricevibilità del ricorso interposto dall’assicurato.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nella sentenza 8C_265/2021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