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 vom 21. Mai 2024</w:t>
      </w:r>
    </w:p>
    <w:p>
      <w:r>
        <w:t>TI Tribunale d'appello, 2024-05-21, IT</w:t>
      </w:r>
    </w:p>
    <w:p>
      <w:r>
        <w:rPr>
          <w:b/>
        </w:rPr>
        <w:t xml:space="preserve">Quelle: </w:t>
      </w:r>
      <w:r>
        <w:t>https://mcp.opencaselaw.ch/entscheid/ti_gerichte_35.2024.2</w:t>
      </w:r>
    </w:p>
    <w:p>
      <w:r>
        <w:t>FR: TI_GERICHTE 35.2024.2 du 21 mai 2024</w:t>
      </w:r>
    </w:p>
    <w:p>
      <w:r>
        <w:t>IT: TI_GERICHTE 35.2024.2 del 21 maggio 2024</w:t>
      </w:r>
    </w:p>
    <w:p>
      <w:pPr>
        <w:pStyle w:val="Heading2"/>
      </w:pPr>
      <w:r>
        <w:t>Regeste</w:t>
      </w:r>
    </w:p>
    <w:p>
      <w:r>
        <w:t>Trauma contusivo/distorsivo al piede sinistro. Assicurata con pensum lavorativo complessivo del 39%. Decisione impugnata (diniego rendita) riformata (diritto ad una rendita d’invalidità del 16% dal 1° novembre 2022). Nessuna deduzione sociale: confermata</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w:t>
      </w:r>
    </w:p>
    <w:p>
      <w:r>
        <w:rPr>
          <w:b/>
        </w:rPr>
        <w:t>E. 18</w:t>
      </w:r>
    </w:p>
    <w:p>
      <w:r>
        <w:t>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