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35.2024.11 vom 19. August 2024</w:t>
      </w:r>
    </w:p>
    <w:p>
      <w:r>
        <w:t>TI Tribunale d'appello, 2024-08-19, IT</w:t>
      </w:r>
    </w:p>
    <w:p>
      <w:r>
        <w:rPr>
          <w:b/>
        </w:rPr>
        <w:t xml:space="preserve">Quelle: </w:t>
      </w:r>
      <w:r>
        <w:t>https://mcp.opencaselaw.ch/entscheid/ti_gerichte_35.2024.11</w:t>
      </w:r>
    </w:p>
    <w:p>
      <w:r>
        <w:t>FR: TI_GERICHTE 35.2024.11 du 19 août 2024</w:t>
      </w:r>
    </w:p>
    <w:p>
      <w:r>
        <w:t>IT: TI_GERICHTE 35.2024.11 del 19 agosto 2024</w:t>
      </w:r>
    </w:p>
    <w:p>
      <w:pPr>
        <w:pStyle w:val="Heading2"/>
      </w:pPr>
      <w:r>
        <w:t>Regeste</w:t>
      </w:r>
    </w:p>
    <w:p>
      <w:r>
        <w:t>Disturbi al rachide lombare. Rinvio atti per complemento istruttorio (perizia esterna) volto ad accertare se infortunio ha causato peggioramento direzionale o soltanto transitorio dello stato preesistente</w:t>
      </w:r>
    </w:p>
    <w:p>
      <w:pPr>
        <w:pStyle w:val="Heading2"/>
      </w:pPr>
      <w:r>
        <w:t>Erwägungen</w:t>
      </w:r>
    </w:p>
    <w:p>
      <w:r>
        <w:rPr>
          <w:b/>
        </w:rPr>
        <w:t>E. 26</w:t>
      </w:r>
    </w:p>
    <w:p>
      <w:r>
        <w:t>ottobre 1999. Vedi pure: STF 9C_807/2014 del 9 settembre 2015; STF 9C_585/2014 dell’8 settembre 2015). nel merito 2.2.  In concreto, è litigiosa la questione di sapere se l’CO 1 era legittimato a porre fine al diritto alle prestazioni (cura medica + indennità giornaliera) a contare dal 1° agosto 2023 (precisato che indennità giornaliere corrispondenti a un’inabilità del 50% sono comunque state pagate sino alla data di emanazione della decisione formale), oppure no. Preliminarmente, questa Corte è tenuta a esaminare se è corretto, oppure no, che al 1° agosto 2023 RI 1 non presentava più alcun postumo dell’evento infortunistico assicurato.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2.6. Nella concreta evenienza, dalla decisione su opposizione impugnata risulta che l’assicuratore LAINF resistente ha negato dal 1° agosto 2023 il proprio obbligo a prestazioni per quanto riguarda i disturbi interessanti il rachide lombare, facendo capo al parere del proprio medico __________. In effetti, a margine della visita __________ del 25 luglio 2023, il dott. __________, spec. FMH in chirurgia ortopedica e traumatologia, ha dichiarato l’assicurata totalmente abile al lavoro da subito e non più bisognosa di cure sanitarie (eccezion fatta per due cicli di fisioterapia), ritenendo che le conseguenze infortunistiche (frattura delle limitanti somatiche superiori di L5 con sospetto L4 senza evidente perdita di altezza, nonché frattura delle costole II e III a sinistra) fossero nel frattempo completamente guarite e che i bulging discali e l’anterolistesi di L4 su L5 avessero un’eziologia esclusivamente morbosa (cfr. doc. 109). Dalle carte processuali emerge che, nel mese di giugno 2023, ha avuto luogo una consultazione presso il dott. __________, responsabile della neurochirurgia spinale presso l’Istituto neurologico __________, il quale ha disposto l’esecuzione di radiografie con proiezioni dinamiche in flesso estensione per escludere la presenza di un’instabilità lombare (doc. 95). Con comunicazione mail del 26 giugno 2023, il dott. __________ ha dichiarato che “l e lastre documentano una franca instabilità lombare per cui se i trattamenti conservativi di rinforzo muscolare non fossero idonei appare indicato intervento di stabilizzazione L3-L5. ” (doc. 103). Nel settembre 2023, l’insorgente ha invece privatamente consultato gli specialisti della __________, i quali hanno formulato la diagnosi di macroinstabilità in presenza di un’anterolistesi L4/L5 con possibile neurocompressione recessuale. Dal profilo terapeutico, il PD dott. __________ ha proposto innanzitutto l’esecuzione di un’infiltrazione delle faccette articolari L4-L5 bilateralmente come pure un’infiltrazione epidurale allo stesso livello, precisando che, a seconda dell’esito, sarebbe stato da valutare un intervento di stabilizzazione e di decompressione (doc. 134). Con referto del</w:t>
      </w:r>
    </w:p>
    <w:p>
      <w:r>
        <w:rPr>
          <w:b/>
        </w:rPr>
        <w:t>E. 27</w:t>
      </w:r>
    </w:p>
    <w:p>
      <w:r>
        <w:t>novembre 2023, il PD dott. __________, spec. FMH in neurochirurgia cranica e spinale, ha sostenuto che la ricorrente è portatrice di una “ instabilità L4-L5 conseguenza della frattura L5 dx che ha avuto l’anno scorso ”. Egli ha quindi posto l’indicazione medica a procedere a un intervento di decompressione e stabilizzazione del livello L4-L5 con tecnica di TLIF mini-invasivo.” (doc. 142). Chiamato dall’amministrazione a prendere posizione in merito alla documentazione nel frattempo acquisita, il dott. __________ ha ribadito il parere secondo il quale “l’assicurata lamenta a livello del rachide lombare delle affezioni di origine morbosa e non con probabilità prevalentemente infortunistiche. Si tratta di un’acutizzazione passeggera di un processo morboso pre-esistente con uno status quo ante [ritrovato, n.d.r.] dopo tre e non oltre sei mesi post-infortunio.”. A proposito del rapporto del dott. __________, il fiduciario ha segnatamente osservato che “in genere una listesi (come in questo caso di grado I, massimo II) è di origine degenerativa. In casi rari può essere di origine infortunistica (dopo adeguato trauma di iperestensione e/o flessione o impatto diretto). In questo caso l’assicurata era seduta in auto con la cintura legata. Questa dinamica non è una dinamica sufficiente per provocare una lesione importante alla colonna lombare. In questo caso mancano tutti i segni di una lesione traumatica del disco, a parte la minima lesione della formazione osteofitica ventralmente del plateau superiore di L5. Al contrario, si nota una struttura del disco omogenea senza segni per una fessura/rottura. Nessuna inclusione di aria, edema o sanguinamento delle strutture attorno al livello L4-L5 a parte i processi degenerativi come sopra descritto.” (doc. 145). In occasione della visita del 29 gennaio 2024, il PD __________ ha innanzitutto sottolineato che il dott. __________ non è specialista in chirurgia spinale, di modo che non possiede “un’esperienza clinica e chirurgica spinale tale da poter valutare un caso di questa entità.”. D’altro canto, il medico curante specialista ha confermato che “l’instabilità segmentaria L4-L5 è in grande parte o esclusivamente dovuta alla frattura del piatto superiore di L5. Non posso negare che la paziente presentava sulla RM fatta al momento del trauma dei cambiamenti degenerativi, però non aveva a questo momento nessuna stenosi del forame e nessuna radicolopatia L5 a dx. Il cambiamento di anatomia della vertebra L5 e l’evoluzione post traumatica del disco L4-L5 sono degli elementi importanti per poter affermare che le lesioni sono post traumatiche e non completamente degenerative. Il caso della paziente non è un caso raro di scompenso di un disco post traumatico dopo una frattura anche valutata inizialmente come stabile. Per concludere, rimango sulla mia posizione che il problema clinico della paziente e il cambiamento importante del disco L4-L5 sono dei problemi post-traumatici. I cambiamenti degenerativi già visti sulla prima RM non giocano nessun ruolo oppure un ruolo minimo nel problema della paziente. Sono ovviamente a disposizione per confrontarmi con il Dr. __________ per ridiscutere i diversi esami radiologici con lui se fosse necessario.” (doc. 155). Le considerazioni espresse dal dott. __________ sono state criticamente commentate dal PD __________, spec. FMH in neurologia, nel suo apprezzamento del 14 febbraio 2024. In primo luogo, il medico fiduciario ha rilevato che, nell’immediato post trauma, la ricorrente ha lamentato principalmente dei dolori lombari e, soltanto dopo più di due settimane, sono stati segnalati dolori irradianti l’arto inferiore destro. Per contro, non sono mai stati documentati deficit motori segmentali oppure riflessi assimetrici, neppure nel referto del dott. __________ relativo alla consultazione del 27 novembre 2023. D’altra parte, trattandosi della frattura del piatto superiore di L5, sarebbe tutt’al più possibile una compressione della radice di L4 a destra, tuttavia l’assicurata non presenta una corrispondente sintomatologia clinica. Anche una sintomatologia dipendente dalla radice di L5, che sarebbe possibile soltanto in presenza di ernie discali laterali molto grandi, in concreto non refertate alla diagnostica per immagini, non è data. Di conseguenza, a suo avviso, l’insorgente soffre di una cosiddetta sintomatologia pseudoradicolare con denuncia di un disturbo della sensibilità esclusivamente a livello della coscia laterale, non corrispondente né a L4 né a L5 e senza irradiazione radicolare nella gamba, assenti inoltre dei segni oggettivabili di anomalie nei riflessi. In merito all’intervento di stabilizzazione proposto dal dott. __________ (e dal dott. __________), il dott. __________ ha negato una qualsiasi indicazione, con riferimento anche a quanto prevedono le linee guida interdisciplinari di lingua tedesca, alla cui elaborazione ha preso parte anche la Società svizzera di neurologia, a fronte di una frattura della vertebra L5 mai destabilizzata, nel frattempo guarita, e dell’assenza di disturbi funzionali neurologici (doc. III 1). Con rapporto del 14 marzo 2024, dopo aver segnalato che nemmeno il dott. __________ può essere ritenuto esperto nelle patologie della colonna vertebrale e sottolineato che la valutazione espressa da quest’ultimo ha avuto luogo in base agli atti, il medico curante specialista si è pronunciato in questi termini: " (…) Nelle mie lettere precedenti non ho mai negato la presenza di lesioni degenerative preesistenti al trauma, però l’analisi sia dell’anamnesi che della cartella radiologica, mostra che la frattura del piatto superiore di L5 ha cambiato l’angolazione del segmento L4-L5 e soprattutto l’altezza del forame L4-L5 dai due lati. Il Dr. __________ si basa su linee guida dell’associazione di ortopedia, per valutare che questo caso di frattura è fuori dalle linee guida proponendo una stabilizzazione. Questa risposta mette in evidenza la mancanza di esperienza del Dr. __________ nelle patologie della schiena. Ovviamente le linee guida sono più che valide per l’80% dei pazienti, però rimangono sempre dei casi particolari dove le linee guida non permettono di trattare i pazienti caso per caso. Il caso della signora RI 1 è chiaramente dentro questo 20%. Rimango sulla mia idea che la frattura del piatto superiore di L5 provocata dall’incidente in agosto 2022, e documentato dalla cartella radiologica, ha fatto scompensare la compressione radicolare L5 dx su stenosi foraminale L4-L5 dx. (…). ” (doc. VII 1) Con apprezzamento datato 25 marzo 2024, il PD __________ ha segnatamente rilevato che il dott. __________ non si è pronunciato in merito all’assenza di deficit e reperti neurologici oggettivabili. A proposito del parere secondo cui la frattura di L5 avrebbe cambiato l’angolazione del segmento L4-L5 e soprattutto l’altezza del forame L4-L5 dai due lati, secondo il fiduciario dell’amministrazione, tale tesi non può essere presa in considerazione e non rispetta nemmeno le linee guida interdisciplinari, considerato che non è presente un’adeguata clinica, in assenza di una problematica oggettivabile interessante la radice di L5 a destra (doc. IX 1). Con i rapporti del 9 aprile (cfr. doc. XIII 1) e 14 maggio 2024 (cfr. doc. XXII 1), rispettivamente del 22 aprile (cfr. doc. XVII 1) e 13 giugno 2024 (cfr. doc. XXVI 1), il curante specialista e il fiduciario dell’CO 1 si sono in sostanza riconfermati nelle loro posizioni.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ora a pronunciarsi nel caso di specie, attentamente vagliato l’insieme della documentazione a sua disposizione, il TCA non ritiene di poter concludere, con la necessaria tranquillità, che al momento in cui l’assicuratore resistente ha posto termine alle proprie prestazioni (agosto 2023) (precisato che le indennità giornaliere sono comunque state riconosciute sino al 5 ottobre 2023), la ricorrente non presentava più alcun postumo somatico dell’evento traumatico del 12 agosto 2022. In questo senso, occorre innanzitutto precisare che ,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2.7.). Ora, ai referti dei medici interni all’amministrazione non può essere riconosciuto un valore probatorio sufficiente per escludere che RI 1 fosse portatrice, anche dopo il mese di luglio 2023, di sequele dell’infortunio assicurato. D’altro canto, il TCA constata che agli atti figurano i referti del medico curante dell’insorgente, PD dott. __________ (cfr. supra , consid. 2.6.), specialista proprio nella materia che qui interessa, il quale sostiene una tesi opposta a quella difesa dai medici interpellati dall’istituto assicuratore convenuto (per i quali l’evento assicurato sarebbe responsabile di un aggravamento soltanto transitorio con lo status quo ante ritrovato a far tempo da agosto 2023), ossia che l’infortunio dell’agosto 2022 avrebbe peggiorato direzionalmente (in modo duraturo) il preesistente stato morboso del rachide lombare, e ciò nel senso che la frattura della limitante somatica superiore di L5 avrebbe modificato l’angolazione del segmento L4-L5, segnatamente l’altezza del forame L4-L5 dai due lati, provocando una stenosi dei neuroforami, modifica direzionale che risulterebbe oggettivata grazie al materiale iconografico a disposizione. Le posizioni del medico curante dall’assicurata, rispettivamente di quelli interpellati dall’CO 1, sono a tal punto divergenti, che non è possibile decidere tra l’una e l’altra senza disporre di conoscenze mediche specialistiche. In simili casi, la giurisprudenza federale prevede che va ordinata una perizia ad opera di un medico indipendente secondo la procedura di cui all’art. 44 LPGA oppure una perizia giudiziaria (cfr. STF 8C_418/2022 del 1° marzo 2023 consid. 3.1.2 e riferimento ivi citato).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STF 8C_274/2021 del 31 marzo 2023 consid. 9.3.3; STF 8C_523/2022 del 23 febbraio 2023 consid. 5.4 e riferimenti; STF 8C_731/2021 succitata consid. 4.6). Nella presente fattispecie, il TCA ritiene che siano adempiuti i presupposti per un rinvio degli atti all’istituto convenuto (cfr. STF 8C_59/2011 del 10 agosto 2011 e DTF 135 V 465), già per il fatto che la decisione impugnata si fonda esclusivamente sul parere dei propri medici interni. P er le ragioni già diffusamente esposte al considerando 2.8. , si giustifica pertanto l’annullamento della decisione su opposizione impugnata e il rinvio degli atti all’assicuratore resistente affinché disponga un approfondimento peritale esterno (art. 44 LPGA) destinato a stabilire se i disturbi lombari denunciati dall’assicurata hanno costituito anche dopo il 31 luglio 2023 una conseguenza naturale dell’evento traumatico del 12 agosto 2022, oppure no. In seguito, facendo capo alle risultanze dell’accertamento esperito, l’amministrazione si pronuncerà di nuovo in merito al diritto alle prestazioni dal profilo materiale e temporale. Il TCA non è ora in grado di pronunciarsi in merito alla pretesa assenza di un nesso di causalità adeguata tra l’infortunio dell’agosto 2022 e i disturbi psichici presentanti dalla ricorrente (doc. 148, p. 6 s.), posto che dalla perizia che dovrà essere ordinata dall’amministrazione potrebbero emergere elementi suscettibili d’incidere sulla valutazione dei fattori di rilievo elaborati dalla giurisprudenza federale in materia di elaborazione psichica abnorme conseguente a infortunio (cfr. DTF 115 V 133). 2.10.  A proposito della domanda ricorsuale tendente a che venga ripristinato il diritto all’indennità giornaliera a contare dal 12 agosto 2022 (cfr. doc. I, p. 12), precisato che la prestazione in questione è stata riconosciuta sino al 5 ottobre 2023 (cfr. supra , consid. 1.2.) e che l’CO 1 con la decisione impugnata ha ritirato l’effetto sospensivo a un eventuale ricorso, è utile segnalare che, in una sentenza 8C_45/2008 del 16 dicembre 2008, riguardante una fattispecie in cui un Tribunale cantonale aveva annullato la decisione su opposizione impugnata, mediante la quale l’assicuratore LAINF aveva dichiarato estinto il diritto alle prestazioni di corta durata e negato quello a una rendita d’invalidità e all’IMI, rinviando gli atti per complemento istruttorio e nuova decisione, il TF ha precisato, con riferimento alla pronunzia U 115/06 del 24 luglio 2007, che il principio sviluppato nella DTF 129 V 370 deve trovare applicazione anche nel caso in cui l’assicuratore contro gli infortuni sospende le proprie prestazioni, cosicché quest’ultimo non può essere tenuto a ripristinare il relativo diritto durante il periodo d’esecuzione degli accertamenti medici ordinati dal tribunale (si veda pure la STF 8C_739/2022 del 3 luglio 2023 consid. 5.1.3, con cui la Corte federale ha confermato la propria giurisprudenza). 2.11.  Considerato l’esito del ricorso (il rinvio con esito aperto equivale a piena vittoria, cfr., da ultimo, STF 8C_859/2018 del 26 novembre 2018 consid. 5 con rinvio a DTF 137 V 210 consid. 7.1 p. 271 e riferimento), l’assicuratore verserà all’insorgente, rappresentata da un avvocato, l’importo fr. 2’000 (IVA inclusa) a titolo d’indennità per ripetibili .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