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35.2023.93 vom 22. Januar 2024</w:t>
      </w:r>
    </w:p>
    <w:p>
      <w:r>
        <w:t>TI Tribunale d'appello, 2024-01-22, IT</w:t>
      </w:r>
    </w:p>
    <w:p>
      <w:r>
        <w:rPr>
          <w:b/>
        </w:rPr>
        <w:t xml:space="preserve">Quelle: </w:t>
      </w:r>
      <w:r>
        <w:t>https://mcp.opencaselaw.ch/entscheid/ti_gerichte_35.2023.93</w:t>
      </w:r>
    </w:p>
    <w:p>
      <w:r>
        <w:t>FR: TI_GERICHTE 35.2023.93 du 22 janvier 2024</w:t>
      </w:r>
    </w:p>
    <w:p>
      <w:r>
        <w:t>IT: TI_GERICHTE 35.2023.93 del 22 gennaio 2024</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8C_1070/2009 dell’11 giugno 2010 consid. 2.2.; STFA I 871/02 del 20 aprile 2004 e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(cfr.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(cfr. RAMI 1991 U 130 pag. 270 segg.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(cfr.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(cfr. RAMI 1993 U 168 pag. 97 segg.,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pag.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pag. 97segg.,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8C_370/2022 del 1° marzo 2023 consid. 5.1.; STF 8C_622/2021 del 21 dicembre 2021 consid. 4.1.; STF 8C_616/2018 del 3 giugno 2019 consid. 4.1.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Va, però, evidenziato che in ragione della diversità dell'incarico assunto (a scopo di trattamento anziché di perizia), in caso di lite non ci si può di regola fondare sulla posizione del medico curante, anche se specialista (cfr.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pag. 35 consid. 4b). 2.6.  Nella concreta evenienza il medico dell’CO 1, PD Dr. med. __________, spec. FMH in chirurgia ortopedica e traumatologia, il 13 marzo 2023, chiamato a esprimersi in merito al caso dell’assicurato dopo che il 6 marzo 2023 il Dr. med. __________, spec. FMH in chirurgia ortopedica (l’8 luglio 2021 quest’ultimo aveva asportato il chiodo Gamma, inserito durante l’intervento di osteosintesi del 1° ottobre 2020 resosi necessario a seguito della frattura del femore destro avvenuta lo stesso giorno, e aveva effettuato l’artroplastica totale dell’anca destra; cfr. consid. 1.1.), aveva menzionato “un eventuale secondo parere presso un centro universitario” (cfr. doc. 157), ha rilevato: " Fattispecie rilevante sulla base degli atti Faccio riferimento al mio apprezzamento con visita del 17.01.2023. 17.01.2023     referto TAC bacino, __________: conclusioni: Non segni per recidiva di ernia inguinale a destra. Interfaccia radiotrasparente nella zona 1 e 7 femorale, al passaggio tra cemento e piano osseo, da valutare in ambito specialistico e da porre a confronto con radiogrammi post-operatori: elementi compatibili con scollamento. Presenza di grossolana ossificazione mediale attorno al piccolo trocantere a destra. Segnaliamo la presenza di ispessimento tessutale in corrispondenza della regione ombelicale con estensione intra-addominale: esiti iatrogeni a tale livello? 01.02.2023     Rapporto dr. med. __________ del 31.01.2023: “Il paziente presenta uno stato dopo protesi totale dell’anca destra su stato dopo osteosintesi di una frattura pertrocanterica con attualmente sviluppo di dolori periartricolari sia a riposo che sotto carico. Un esame radiologico con TAC effettuato recentemente mostra una lieve linea di osteolisi attorno la parte prossimale della protesi facendo sospettare un eventuale scollamento. Secondo me questa linea radiotrasparente non è molto conclusiva visto che all’esame clinico il paziente non presenta nessun segno clinico per uno scollamento, riferendomi anche che i dolori si presentano soprattutto al riposo e durante la notte. Di fronte a una situazione che comunque rimane dubbiosa ho proposto al paziente di organizzare una scintigrafia ossea che sarà effettuata prossimamente presso l’Ospedale __________. Rivedrò il paziente dopo la scintigrafia per discutere i risultati e le cure che ne seguiranno.” 07.02.2023     Rapporto scintigrafia ossea trifasica, Spect-CT, __________: conclusioni: Non evidenza di segni scintigrafici riferibili a mobilizzazione/scollamento della PTA destra. 06.03.2023     rapporto dr. med. __________: “Rivedo il paziente alla luce dei risultati della scintigrafia a livello dell’anca destra per un problema di un eventuale scollamento protesico. La scintigrafia non mostra una ipercaptazione dunque nessun segno scintigrafico per uno scollamento della protesi né a livello dello stelo femorale né dell’acetabolo. Né a livello radiologico né a livello clinico posso confermare uno scollamento della protesi dunque non ritengo necessario intervenire chirurgicamente. Sotto questo aspetto ho proposto al paziente un trattamento fisioterapico che consiste in esercizi di rinforzo muscolare, stretching e massaggi della muscolatura periartricolare dell’anca destra. Abbiamo comunque parlato di un eventuale secondo parere presso un centro universitario per il quale vi do il mio appoggio nel caso lo riteneste necessario. Da parte mia rivedo il paziente RI 1 fra un mese per un controllo evolutivo.” Immagini (visionate / refertazione propria) Faccio riferimento ai referti negli atti. Diagnosi Stato dopo infortunio del 01.10.2020 con frattura peritrocanterica del femore destro. Esiti di riposizionamento chiuso e osteosintesi della frattura con un chiodo gamma in data 01.10.2020 (dr. med. __________). Esiti di coxartrosi secondaria destra. Esiti di impiantazione endoprotesi totale dell’anca destra l’08.07.2021 (fecit dr. med. __________). Risposte alle domande 1. Una visita di seconda opinione è necessaria? Per quali motivi? Visto che la diagnostica dell’anca destra è al completo ed è escluso con i metodi più specifici (TAC e scintigrafia) uno scollamento della protesi, un secondo parere non sembra necessario.</w:t>
      </w:r>
    </w:p>
    <w:p>
      <w:r>
        <w:rPr>
          <w:b/>
        </w:rPr>
        <w:t>E. 2.1</w:t>
      </w:r>
    </w:p>
    <w:p>
      <w:r>
        <w:t>È possibile, con probabilità preponderante, che la persona assicurata riprenda a svolgere l’attività originaria nonostante le conseguenze dell’infortunio? Esigibilità di lavoro: non ci sono restrizioni specifiche. Idealmente il lavoro è alternato tra posizione seduta e restare in piedi. Nessun problema con il carico di pesi fino a 5 kg, saltuariamente fino a 20 kg e mai sopra i 20 kg. Questo è dovuto alla protesizzazione dell’anca e per evitare un sovraccarico della protesi. Nessun lavoro su ponteggi, tetti o luoghi con rischio delle cadute. Restrizioni per il mercato generale del lavoro: è abile al 100% nel mercato generale del lavoro, sempre osservando le restrizioni per il sovraccarico. Non ci sono possibili lavori in luoghi pericolosi con il rischio di caduta e su ponteggi e le scale. Per la domanda 3 e le seguenti domande faccio riferimento al mio apprezzamento per l’esigibilità al lavoro sopracitato. Secondo me è consigliabile continuare il prossimo ciclo di fisioterapia e la prossima visita del dr. med. __________. Molto probabilmente abbiamo raggiunto il capolinea. Dal punto di vista medico non sembra ci siano delle misure per migliorare lo stato attuale. (…)” (Doc. 159) Con la decisione su opposizione impugnata l’assicuratore LAINF, basandosi sulla valutazione dell’esigibilità lavoro definita dal PD Dr. med. __________ il 13 marzo 2023, ha considerato l’insorgente pienamente abile al lavoro in un’attività che rispetti i limiti funzionali - in particolare di sovraccarico - indicati dal medico specialista (cfr. doc. A1). L’assicurato, nel ricorso, ha fatto valere che dubita della valutazione medica dei medici dell’CO 1, segnatamente riguardo alla sua guarigione improvvisa al 100% da un mese all’altro, in quanto dalle misurazioni e radiografie effettuate il 17 ottobre 2023 dal Dr. med. __________ è emerso che la sua gamba sinistra è più lunga della gamba destra, mentre i medici CO 1 hanno considerato più lunga la gamba destra (cfr. doc. I; 146; 120; consid. 1.4.). Il PD Dr. med. __________ ha preso posizione al riguardo il 30 ottobre 2023: " (…) Prendo atto anche delle due radiografie inviate dal dott. med. __________ in forma cartacea. Purtroppo, la forma cartacea non permette una valutazione approfondita. È ben visibile, comunque, anche radiologicamente una differenza di 1 cm di lunghezza al favore della gamba destra. Altrimenti sembrano comparabili alle ultime radiografie effettuate. Questo è stato indipendentemente confermato da due medici, specialisti FMH in Ortopedia e Traumatologia, della CO 1. Durante la visita l’assicurato non ha menzionato problemi in merito e preso nota della differenza misurata. A parte del dott. med. __________ non trovo nessuna presa di posizione in merito alla lunghezza delle gambe. Presumo comunque che il dott. med. __________ raggiungerebbe anche lo stesso risultato. Visionando le lastre effettuate non vedo nuovi reperti. Non vedo neanche negli atti una presa di posizione del dott. med. __________ per una eventuale abilità lavorativa. A parte della contestazione dell’assicurato, non vedo nessun referto medico che potrebbe modificare la mia valutazione. Quindi posso confermare la mia valutazione ed esigibilità del lavoro valutata in occasione della ultima visita di chiusura.” (Doc. III1) 2.7.  Chiamata a pronunciarsi, questa Corte, attentamente vagliato l’insieme della documentazione medica agli atti, ritiene che la valutazione dell'esigibilità lavorativa stabilita dal PD Dr. med. __________, secondo cui l’assicurato è abile al 100% nel mercato generale del lavoro, tenuto conto delle restrizioni di sovraccarico (“nessun problema con il carico di pesi fino a 5 kg, saltuariamente fino a 20 kg e mai sopra i 20 kg” ) e dell’esclusione dei lavori su ponteggi, tetti o luoghi con rischio di caduta (cfr. doc. 159; consid. 2.6.), posta alla base del provvedimento avversato possa validamente costituire da supporto probatorio al giudizio che ora la occupa, senza che si riveli necessario procedere a ulteriori atti istruttori, in particolare a una perizia medica o comunque a un ulteriore parere specialistico presso un centro universitario, come invece richiesto dall’insorgente (cfr. doc. V; IX).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8C_146/2022 del 23 gennaio 2023 consid. 6.1.; STF 9C_399/2021 del 20 luglio 2022 consid. 4.2.; STF 9C_689/2020 del 1° marzo 2022 consid. 4.2.; STF 9C_779/2020 del 7 maggio 2021 consid. 5.2.; STF 8C_611/2019 dell’11 maggio 2020 consid. 5.2.;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Il TCA non ha motivo per scostarsi dalle conclusioni del medico dell’CO 1 che ha visitato personalmente l’assicurato (durante il consulto del 17 gennaio 2023 il ricorrente ha d’altronde potuto spiegare i propri disturbi, tra i quali i dolori accusati (cfr. doc. 146; I; V) ed è specialista nella materia che qui ci occupa. La valutazione del PD Dr. med. __________, del resto, non è messa in dubbio da pareri specialistici di senso contrario. Infatti agli atti, posteriori al suo apprezzamento del 13 marzo 2023, risultano soltanto le tre radiografie del 17 ottobre 2023 relative all’anca e al bacino dell’assicurato trasmesse con l’impugnativa (cfr. doc. A5-A7). Le stesse, tuttavia, non consentono di dedurre alcunché in relazione all’esigibilità lavorativa. Neppure l’asserita contraddizione tra i medici dell’CO 1 e lo specialista curante circa quale delle due gambe sia più lunga (cfr. doc. I; consid. 1.4.), è in ogni caso rilevante al fine di determinare l’abilità al lavoro del ricorrente. Va altresì osservato che il Dr. med. __________, il quale il 6 marzo 2023 ha precisato che dalla scintigrafia del 7 febbraio 2023 da lui prescritta non sono emersi segni riferibili a uno scollamento della protesi e che dunque non riteneva necessario intervenire chirurgicamente (cfr. doc. 157; 156), non ha comunque rilasciato alcuna attestazione in merito alla lunghezza delle gambe, rispettivamente all’esigibilità lavorativa. 2.8.  In relazione alla censura ricorsuale secondo cui per l’assicuratore resistente l’insorgente sarebbe improvvisamente guarito al 100% da un mese all’altro (cfr. doc. I; consid. 1.4.), giova evidenziare che fino al 30 giugno 2023 l’CO 1 ha erogato all’insorgente prestazioni di corta durata, ossia le spese di cura e le indennità giornaliere per un’inabilità al lavoro del 100%. A partire da tale data non gli è più stato riconosciuto il diritto a tali prestazioni, in quanto il caso è stato ritenuto stabilizzato (cfr. doc. 171). Giusta l'art. 10 LAINF l'assicurato ha, infatti,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Ex art. 17 cpv. 1 LAINF in caso d’incapacità lavorativa totale (art. 6 LPGA42), l’indennità giornaliera è pari all’80 per cento del guadagno assicurato. Essa è ridotta in proporzione in caso di incapacità lavorativa parziale.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(cfr. STF 8C_142/2017 del 7 settembre 2017 consid. 4). Non è parimenti sufficiente che la persona assicurata possa ancora eventualmente beneficiare di un trattamento fisioterapeutico (cfr.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(cfr. DTF 134 V 109 consid. 4.3; STF 8C_44/2021 del 5 marzo 2021 consid. 5.2; 8C_301/2021 del 23 giugno 2021 consid. 3.2). Il diritto a una rendita di invalidità, per contro, come indicato dall’CO 1 nella decisione del 12 luglio 2023 (doc. 184), dipende dalla presenza di un impedimento presumibilmente permanente e notevole nella capacità lucrativa. Non discende dal danno alla salute in sé, né dalla valutazione medica, bensì dalle ripercussioni economiche (del danno alla salute). Nella determinazione dell'invalidità non c'è la possibilità di fondarsi su una valutazione medico-teorica del danno alla salute dovuto all'infortunio (cfr. consid. 2.4.). Di conseguenza, conformemente a quanto specificato nella decisione su opposizione, visto che l’indennità giornaliera e la rendita di invalidità si fondano su basi differenti, anche se lo stato di salute dell’assicurato è restato immutato, è possibile giungere a dei valori percentuali diversi (cfr. doc. A1 p.to 3) e dunque negare il diritto a una rendita d’invalidità, sebbene le stesse condizioni di salute (in concreto l’Istituto assicurato, nella risposta di causa, ha affermato di non aver mai preteso che il ricorrente sia guarito da un giorno all’altro; cfr. doc. III), prima della chiusura del caso (in concreto non è contestato che lo stato di salute infortunistico sia stabilizzato dal 30 giugno 2023; cfr. doc. 171), legittimassero la concessione di indennità giornaliere. 2.9.  Alla luce di quanto sopra esposto e richiamato l'obbligo che incombe all'assicurato di intraprendere tutto quanto sia ragionevolmente esigibile per ovviare alle conseguenze del discapito economico cagionato dal danno alla salute (cfr. STF 8C_477/2018 del 4 dicembre 2018 consid. 5.2.1.; DTF 141 V 642 consid. 4.3.2.; STF 8C_670/2009 del 7 aprile 2010 consid. 6.3.; STF 8C_29/2008 del 23 aprile 2008 consid. 4.2.;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Meyer-Blaser , Rechtsprechung des Bundesgerichts zum IVG, Zurigo 1997, pag. 221), occorre ritenere dimostrato, secondo il grado della verosimiglianza preponderante abitualmente applicato nel settore delle assicurazioni sociali (cfr. STF 8C_631/2022 del 24 marzo 2023 consid. 5.5.; STF 8C_440/2022 del 23 febbraio 2023 consid. 4.5.; S TF 8C_545/2021 del 4 maggio 2022 consid. 3.1.; DTF 146 V 51 consid. 5.1.; DTF 138 V 218 consid. 6 pag. 221 con riferimenti), che il ricorrente è in grado di svolgere a tempo pieno un’attività lavorativa adeguata, rispettosa dei limiti indicati dal PD Dr. med. __________, e meglio delle restrizioni di sovraccarico ( “nessun problema con il carico di pesi fino a 5 kg, saltuariamente fino a 20 kg e mai sopra i 20 kg” ) e dell’esclusione dei lavori su ponteggi, tetti o luoghi con rischio di caduta (cfr. doc. 159; consid. 2.6.; 2.7.). 2.10.  Si tratta ora di valutare le conseguenze economiche del danno alla salute infortunistico. L’CO 1 ha quantificato il reddito da valido in fr. 66'346.--, facendo capo alla RSS 2020, tabella TA1_tirage_skill_level, ramo economico 45-46 (“ commercio e riparazione di autoveicoli ”), livello di competenze 1, uomini, aggiornato al 2023 (cfr. doc. 184). Per il raffronto dei redditi fa, in effetti, stato il momento dell’inizio dell’eventuale diritto alla rendita (cfr. DTF 129 V 222; STF 8C_641/2008 del 14 aprile 2009 consid. 7.1.; STFA I 600/01 del 26 giugno 2003 consid. 3.1; STFA I 670/01 del 3 febbraio 2003, pubblicata in SVR 2002 IV Nr. 24, STFA I 761/01 del 18 ottobre 2002 consid. 3.1, pubblicata in SVR 2003 IV Nr. 11 e STFA I 26/02 del 9 agosto 2002 consid. 3.1; cfr. inoltre STFA I 475/01 del 13 giugno 2003 consid. 4.2.). In concreto sono, quindi, determinanti, come correttamente ritenuto dalla parte resistente, i dati del 2023 , dato che lo stato di salute dell’assicurato è stato considerato stabilizzato a partire dal 30 giugno 2023 (cfr. doc. 171). L’Istituto assicuratore ha poi determinato il reddito da invalido in fr. 67'263.--, basandosi sulla RSS 2020, tabella TA1_tirage_skill_level, ramo economico totale, livello di competenze 1, uomini, aggiornato al 2023 (cfr. doc. 184). L’assicurato non ha contestato il reddito da valido, né quello da invalido, quanto piuttosto di essere considerato guarito al 100% in relazione all’esigibilità lavorativa (cfr. doc. I). Come si è visto ai consid. 2.7.-2.8., da un lato, l’esigibilità lavorativa definita dal PD Dr. med. __________ è, tuttavia, stata confermata dal TCA. Dall’altro, il grado di invalidità e, perciò, il diritto a una rendita di invalidità non dipende dal danno di salute in sé. Siccome l’aspetto economico non è stato contestato dall'insorgente, questo Tribunale ritiene di potere fare proprio il calcolo effettuato dall’CO 1 nella decisione su opposizione impugnata e di non aver motivo di verificarlo oltre (in questo senso cfr., tra le tante, STCA 35.2022.81 del 27 marzo 2023 consid. 2.12.; STCA 35.2018.92 del 28 febbraio 2019 consid. 2.8; STCA 32.2019.39 del 13 febbraio 2020 consid. 2.10 e i rinvii ivi citati). È in ogni caso utile rilevare, in primo luogo, che a ragione la parte resistente, tenuto conto che l’assicurato, nato il 29 dicembre 1956, dal 1° gennaio 2022 beneficia della rendita ordinaria AVS (cfr. doc. 179) e del tenore dell’art.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per determinare sia il reddito da valido, che quello da invalido e per definire, quindi, il grado di invalidità del ricorrente, ha fatto capo ai dati statistici, i quali costituiscono dei valori medi anche dal profilo dell’età di coloro che li hanno conseguiti (cfr. STCA 35.2020.87 del 22 marzo 2021 consid. 2.7.). In secondo luogo, pure rettamente l’CO 1 non ha applicato alcuna riduzione al reddito statistico da invalido. Secondo la più recente giurisprudenza federale, infatti, il livello di qualifica 1 dei dati RSS comprende già tutta una serie di attività leggere che tengono conto di molte limitazioni. In altre parole, possono essere considerate sotto il cappello delle limitazioni funzionali che consentono in linea di principio di applicare una riduzione percentuale al reddito statistico solo circostanze che in un mercato equilibrato del lavoro devono essere considerate come eccezionali. Negli altri casi non viene attuata nessuna deduzione a questo titolo neppure se la capacità lavorativa è totale in attività adeguate e non si pone dunque il problema di un’indebita doppia deduzione (cfr. STF 8C_495/2019 dell'11 dicembre 2019 consid. 4.2.2 con riferimento e 8C_82/2019 del 19 settembre 2019 consid. 6.3.2; 8C_730/2019 del 10 giugno 2020 consid. 4.4.4; 8C_765/2019 del 10 giugno 2020 consid. 5.4.4; 8C_9/2020 del 10 giugno 2020 consid. 4.4.4; in questo senso, si veda pure Ares Bernasconi ,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(cfr. STF 8C_805/2016 del 22 marzo 2017 consid. 3.1 e 3.4.2 e 9C_846/2014 del 22 gennaio 2015 consid. 4.1.1 con riferimenti). Questa giurisprudenza è stata sostanzialmente confermata anche dalla STF 8C_410/2023 del 5 dicembre 2023 consid. 5.4.2.3. e dalla STF 8C_ 623/2022 del 12 gennaio 2023 consid. 5.1.1 e 5.2.2. In relazione all’esclusione di una decurtazione generalizzata del valore centrale della RSS legata a una pretesa scarsa plausibilità dei redditi stabiliti in applicazione della RSS, poiché le persone con disabilità percepirebbero generalmente dei redditi inferiori rispetto a quelli realizzati dalle persone senza disabilità, come pure alla modifica dell’Ordinanza sull’assicurazione per l’invalidità (art. 26 bis cpv.</w:t>
      </w:r>
    </w:p>
    <w:p>
      <w:r>
        <w:rPr>
          <w:b/>
        </w:rPr>
        <w:t>E. 2.15</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Motivazione Secondo la tabella 5.1 menomazione dell’integrità per l’artrosi della CO 1 è concessa per un’artrosi moderata dell’anca (coxartorsi) un’IMI tra il 10-30%. Le radiografie del 24.03.2021 del bacino ap e dell’anca assiale a destra mostrano un’artrosi moderata dell’articolazione dell’anca. È concesso il massimo di 30% per un’artrosi moderata vista la frattura complessa peritrocanterica” (Doc. 160) Chiamata ora a pronunciarsi su una questione di carattere squisitamente medico, constatato che agli atti non figura alcuna divergente valutazione specialistica al riguardo e considerato che l’insorgente non ha sollevato alcuna motivata obiezione in merito, questa Corte ritiene che l’apprezzamento della menomazione dell’integrità espresso dal PD Dr. med. __________ possa validamente costituire da fondamento al proprio giudizio. Del resto il medico dell’assicuratore LAINF, nel suo esame, ha tenuto conto della giurisprudenza del TF, secondo la quale per la valutazione della menomazione dell’integrità in caso di innesto di endoprotesi è determinante lo stato non corretto dalla endoprotesi in questione (cfr. STF 8C_746/2022 del 18 ottobre 2023 consid. 4.3.2.; STF 8C_5/2022 del 3 agosto 2022 consid. 4.3.; STF 8C_600/2007 del 28 aprile 2008; STFA U 56/05 del 18 luglio 2005; STFA U 313/02 del 4 settembre 2003, pubblicata in RAMI 2003 U 496 pag. 403 segg. e SVR 2004 UV Nr. 7 pag. 21 segg., STFA U 40/01 del 4 settembre 2001, pubblicata in RAMI 2001 U 445 pag. 555 segg.; per una critica a questa giurisprudenza, cfr. Th. Frei , Die Integritätsentschädigung nach Art. 24 und 25 des Bundesgesetzes über die Unfallversicherung, Tesi Friborgo 1998, pag. 103). Per completezza va osservato che la Tabella 2.2. prevede che un raccorciamento di 2 cm al massimo di un arto inferiore in assenza di altre alterazioni morfologiche o funzionali (ad esempio un difetto di rotazione o spostamento dell’asse) non dà diritto a un'IMI. Stante ciò, l’entità dell’IMI riconosciuta dall’CO 1 deve essere confermata, senza che si riveli necessario procedere a ulteriori passi istruttori (cfr. consid. 2.7.). In conclusione, anche per quanto riguarda il diritto all’IMI, il ricorso di RI 1 non può essere accolto. 2.14.  In esito a tutto quanto precede il TCA deve confermare la decisione su opposizione emessa il 20 settembre 2023 dall’CO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