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35.2023.80 vom 18. März 2024</w:t>
      </w:r>
    </w:p>
    <w:p>
      <w:r>
        <w:t>TI Tribunale d'appello, 2024-03-18, DE</w:t>
      </w:r>
    </w:p>
    <w:p>
      <w:r>
        <w:rPr>
          <w:b/>
        </w:rPr>
        <w:t xml:space="preserve">Quelle: </w:t>
      </w:r>
      <w:r>
        <w:t>https://mcp.opencaselaw.ch/entscheid/ti_gerichte_35.2023.80</w:t>
      </w:r>
    </w:p>
    <w:p>
      <w:r>
        <w:t>FR: TI_GERICHTE 35.2023.80 du 18 mars 2024</w:t>
      </w:r>
    </w:p>
    <w:p>
      <w:r>
        <w:t>IT: TI_GERICHTE 35.2023.80 del 18 marzo 2024</w:t>
      </w:r>
    </w:p>
    <w:p>
      <w:pPr>
        <w:pStyle w:val="Heading2"/>
      </w:pPr>
      <w:r>
        <w:t>Regeste</w:t>
      </w:r>
    </w:p>
    <w:p>
      <w:r>
        <w:t>Discussa entità del grado d'invalidità dell'assicurato. Rinvio atti per esecuzione perizia esterna volta a definire l'esigibilità lavorativa in relazione al danno infortunistico</w:t>
      </w:r>
    </w:p>
    <w:p>
      <w:pPr>
        <w:pStyle w:val="Heading2"/>
      </w:pPr>
      <w:r>
        <w:t>Erwägungen</w:t>
      </w:r>
    </w:p>
    <w:p>
      <w:r>
        <w:rPr>
          <w:b/>
        </w:rPr>
        <w:t>E. 16</w:t>
      </w:r>
    </w:p>
    <w:p>
      <w:r>
        <w:t>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2.5.  Nel caso di specie, dalla decisione su opposizione impugnata si evince che l’CO 1 ha definito l’esigibilità lavorativa alla base della determinazione del grado dell’invalidità, facendo capo essenzialmente al parere del proprio medico __________, il quale, a sua volta, ha fatto riferimento agli esiti di una valutazione della capacità funzionale (cfr. doc. 318). Dalle tavole processuali emerge in effetti che, il 18 e 19 ottobre 2022, RI 1 è stato sottoposto a test volti a determinare il carico di lavoro fisicamente esigibile, da parte del dott. __________, spec. FMH in reumatologia e della fisioterapista EFL __________. Gli specialisti appena citati hanno diagnosticato una distorsione della caviglia destra con un primo episodio di CRPS tipo 1, artroscopia diagnostica con débridement il 28 luglio 2021, secondo episodio di CRPS 1 trattato con bifosfonati parenterali, attualmente dolore neuropatico cronico invariato da 1 anno, clinicamente temperatura simmetrica, non gonfiore, colorazione leggermente più scura, iperpatia, atrofia del polpaccio di ca. 2 cm (doc. 264, p. 2). Per quanto qui d’interesse, il ricorrente è stato dichiarato totalmente inabile nella sua abituale professione di gruista ma in grado di svolgere delle attività lavorative leggere, prevalentemente sedentarie che non comportano lunghi spostamenti a piedi. I sanitari EFL hanno tuttavia precisato che per quanto concerne i test ai quali è stato sottoposto l’assicurato, “occorre premettere che il dolore è una sensazione soggettiva a riguardo della quale solo l’assicurato stesso può esprimersi. Questo ha implicazioni sulla capacità di concentrazione, le capacità relazionali fino alla personalità e la resistenza anche in attività adeguate che non possono essere testate nell’ambito di una valutazione ergonomica come la nostra. Complessivamente questo assicurato non ha mostrato nessuna amplificazione di sintomi il che correla con le osservazioni del dr. __________ che parla di un assicurato adeguato nei suoi rapporti.” (cfr. doc. 264, p. 7). Da notare che, a margine della consultazione del 14 gennaio 2022, il reumatologo dott. __________ aveva in effetti sottolineato esplicitamente come “il paziente sia adeguato. Ho letto dei suoi problemi sul posto di lavoro e il fatto che sia stato licenziato. Non so come fosse la situazione prima dell’operazione, ma è chiaro che in questi pazienti con CRPS ogni intervento operatorio va accuratamente valutato in quanto c’è sempre il rischio di un netto peggioramento, come purtroppo presso il paziente. Durante tutta la visita il paziente non ha mai appoggiato il piede se non proprio sfiorandolo. Abbiamo una netta atrofia e soprattutto anche l’immagine clinica è di un piede con una netta algodistrofia. Come detto dovessi parlare della vecchia classificazione parlerei di un Sudeck al terzo stadio.” (doc. 227). In data 11 novembre 2022 ha avuto luogo la visita di chiusura a cura del dott. __________, spec. FMH in chirurgia ortopedica e traumatologia. Il medico __________ ha refertato un quadro clinico comparabile a quello osservato a margine della visita fiduciaria dell’ottobre 2021 e all’obbiettività descritta nella valutazione EFL, con ipotrofia muscolare, iperalgesia, allodinia, arrossamento e ipotermia locale. Con riferimento alla valutazione dell’esigibilità lavorativa espressa dal dott. __________, definita come “adeguata e condivisibile”, il dott. __________ ha sostenuto che “appare esigibile un’attività leggera prevalentemente sedentaria che eviti lunghi spostamenti a piedi e che non prevede una stazione eretta prolungata. Tale tipo di attività risulta esigibile a tempo pieno e può essere svolta con un rendimento normale.” (doc. 273). Con la propria impugnativa, il rappresentante dell’assicurato fa valere che quest’ultimo non sarebbe in realtà in grado di svolgere, a tempo pieno e con un rendimento completo, nemmeno un’attività lavorativa adeguata (cfr. supra , consid. 1.4.). A supportare tale tesi, sempre secondo l’avv. RA 1, vi sarebbero agli atti alcuni rapporti elaborati da specialisti privatamente consultati dal ricorrente. Con certificazione 14 giugno 2023, il dott. __________, spec. in ortopedia e traumatologia a __________, ha indicato segnatamente che RI 1 soffre di gravi limitazioni delle articolarità delle caviglie con grave zoppia, che la deambulazione è possibile, per brevi tratti, soltanto con l’uso di bastoni canadesi con incipiente tendinopatia dei flessori del polso e artralgia ad entrambi i polsi (doc. B). Con rapporto del 16 giugno 2023, la dott.ssa __________, spec. in neurologia presso l’Ospedale di __________, ha diagnosticato degli “esiti stabilizzati di grave trauma distorsivo di caviglia dx complicato da algodistrofia. Trattato chirurgicamente con artrolisi presenta una cicatrice sul dorso del piede. Andatura claudicante possibile con doppio appoggio. Riduzione del trofismo dei muscoli di gamba dx di 1/3 rispetto all’arto sano, con aspetto di “collo di bottiglia rovesciata”; allodinia; disestesie; riduzione del riflesso rotuleo a dx; riflesso achilleo assente. Deficitarie le prove di forza contro resistenza dei muscoli pre-tibiali. Lombalgia ed ipercontrattura dei muscoli paravertebrali. Sindrome ansioso-depressiva e reazione compatibile con diagnosi di disturbo post-traumatico da stress.” (doc. C). In corso di causa, è stata prodotta una “Consulenza neurologica”, datata 7 ottobre 2023, della stessa neurologa dott.ssa __________. Da questo documento emerge in sostanza che, tenuto conto di quanto emerso da una valutazione diagnostica elaborata dagli psicologi __________ e __________, l’assicurato lamenta un disturbo post-traumatico da stress di grado moderato complicato da un disturbo ansioso depressivo di tipo reattivo persistente/cronico, imputabile “con un rapporto eziopatologico diretto, ad un grave life event scatenante”. Agli atti figura infine la relazione medico-legale 13 ottobre 2023 del dott. __________, spec. in medicina legale e delle assicurazioni a __________. Secondo questo specialista, l’insorgente presenta degli esiti di un infortunio professionale esitato in grave algodistrofia alla caviglia destra con zoppia da caduta, disturbo post-traumatico da stress ed alterazione del tono dell’umore e del ritmo sonno-veglia. Egli ha d’altro canto ritenuto congruo “riconoscere una percentuale del 50% che tiene conto anche del grave disturbo post traumatico da stress e degli esiti disfunzionali e dolorosi alla colonna vertebrale ed ai polsi (dovuti alla cattiva postura ed all’uso dei bastoni canadesi)”. Infine, a suo avviso, l’assicurato deve essere considerato totalmente inabile nell’attività di gruista, così come in ogni altra attività lavorativa usurante sia dal punto di vista fisico che da quello psichico. L’CO 1 ha sottoposto la documentazione appena riportata al dott. __________ per una sua presa di posizione. Con apprezzamento del 9 novembre 2023, il fiduciario ha espresso le considerazioni seguenti: " (…) Per quanto riguarda il dolore ai polsi, esso sarebbe dovuto all’utilizzo prolungato delle stampelle. Faccio notare che nelle valutazioni dei medici che hanno seguito l’assicurato in precedenza e nelle EFL di __________ e di __________, pur eseguite con lunghi periodi di osservazione, non sono emersi problemi importanti in tale sede. In particolare l’esame obiettivo contenuto nel rapporto EFL di __________ esclude problemi a livello dei polsi e mani. È inoltre da rilevare che è stato chiaramente espresso che l'assicurato non può eseguire lunghi spostamenti con le stampelle, ma questi devono essere limitati a brevi tratti e che il lavoro esigibile è di tipo leggero e prevalentemente sedentario, che eviti lunghi spostamenti e non preveda una stazione eretta prolungata. Per quanto riguarda il problema del rachide in generale (ed in particolare cervicale su cui il dott. med. __________ si è dilungato nel suo rapporto), mi preme sottolineare che per poter porre un nesso tra un sovraccarico del rachide ed una alterazione disfunzionale degli arti inferiori è necessaria una importante dismetria (superiore a 5 cm) o una alterazione neuromuscolare grave (es. esiti di poliomielite). Non è questo il caso in esame. È poi poco probabile che il quadro clinico presentato dall’assicurato possa addirittura determinare un sovraccarico a livello cervicale pur considerando un normale uso delle stampelle. Inoltre, nei rapporti sopra citati si fa unicamente riferimento a un quadro sintomatologico senza portare una documentazione che indichi un coinvolgimento strutturale evidente che possa essere messo in relazione probabile con le conseguenze dell’evento stesso. Quanto alle conclusioni medico-legali del dott. med. __________, nella succinta parte finale della sua trattazione, egli ritiene esservi degli esiti per i quali sia equo riconoscere una percentuale del 50%, tenendo conto anche di un disturbo post-traumatico da stress e degli esiti disfunzionali a livello della colonna vertebrale e dei polsi. In tale valutazione però non chiarisce se questo 50% sia da intendersi quale danno biologico secondo la prassi medico-legale di Scuola Italiana, né specifica secondo quali “barèmes” sia addivenuto a tale percentuale. Di converso non si esprime nemmeno in termini di menomazione secondo le consuete tabelle di riferimento, né indica i motivi per cui è addivenuto a tale valore. La valutazione suddetta appare quindi carente sia in termini di specificità che di giustificazione. Essa inoltre comprende elementi. di cui sopra di è detto, che non sono da considerarsi in nesso prevalentemente probabile con l’evento in esame. Per quanto riguarda la capacità lavorativa, egli si esprime negando una esigibilità del lavoro di gruista. Su tale punto è concorde con quanto già valutato in occasione della visita medico-assicurativa che ha ritenuto tale lavoro non più esigibile. Egli ritiene che anche qualsiasi altro lavoro usurante dal punto di vista fisico-psichico non sia esigibile. A mio parere anche questo non è in disaccordo con le conclusioni della visita medico-assicurativa che ha stabilito che sia esigibile solo un lavoro leggero prevalentemente in posizione sedentaria. Pertanto non usurante dal punto di vista fisico.” (doc. IX 1) Con osservazioni 13 novembre 2023, l’amministrazione ha rilevato, in particolare a proposito della pretesa problematica psichica, che “… non appare verosimile che l’assicurato lamenti oggi dei disturbi visto che egli fino alla chiusura dell’infortunio e relativa sospensione delle prestazioni di breve durata non ha mai consultato uno specialista e non si è mai sottoposto a delle cure specifiche. Vi sono poi delle discordanze nei rapporti prodotti in quanto la dott.ssa __________ ha diagnosticato un disturbo post-traumatico da stress di grado moderato complicato da un disturbo ansioso-depressivo di tipo reattivo mentre la dott.ssa __________ ha rilevato che non risultano soddisfatti tutti i criteri per un disturbo post-traumatico da stress. A suo dire è presente una moderata sintomatologia depressiva caratterizzata dalla presenza di numerosi sintomi somatici. L’CO 1 rinuncia a interpellare la propria consulente in psichiatrica in quanto la causalità adeguata – quesito giuridico – non può essere ammessa. L’assicurato ha riportato una storta alla caviglia destra mentre scendeva da un gradone. Si tratta di un evento banale o di poca gravità per cui la causalità adeguata può essere negata d’acchito.” (doc. IX).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(8C_156/2023 del 26 gennaio 2024 consid. 4.1; 8C_458/2023 del 18 dicembre 2023 consid. 3.2.;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2.7.  Chiamato ora a pronunciarsi , attentamente vagliato l’insieme della documentazione a sua disposizione , questo Tribunale non ritiene di poter confermare la decisione su opposizione impugnata, nella misura in cui l’CO 1 ha dichiarato l’insorgente in grado di esercitare, senza limiti di tempo e di rendimento, un’attività sostitutiva adeguata. Preliminarmente, va rilevato che, non essendo la decisione impugnata fondata su una perizia esterna disposta in ossequio alla procedura prevista dall’art. 44 LPGA, può trovare applicazione la giurisprudenza di cui alla DTF 135 V 465, secondo la quale dei lievi dubbi circa l’affidabilità di un rapporto medico bastano per potersene discostare (cfr. supra , consid. 2.6.). In questo senso, va rilevato che se è vero che, in occasione della valutazione EFL, il dott. __________ e la fisioterapista __________ hanno indicato che sarebbe esigibile che l’assicurato svolga delle attività leggere e prevalentemente sedentarie, è altrettanto vero che i medesimi sanitari hanno sottolineato il fatto che i dolori (neuropatici) da lui denunciati sono suscettibili di avere un impatto anche sulla sua “ capacità di concentrazione, le capacità relazionali fino alla personalità e la resistenza anche in attività adeguate ” (la sottolineatura è del redattore), aspetto che non ha potuto essere adeguatamente valutato mediante i test ergonomici a cui è stato sottoposto (“… non possono essere testate nell’ambito di una valutazione ergonomica come la nostra .”), in un assicurato giudicato adeguato che “ non ha mostrato nessuna amplificazione di sintomi ” (cfr. doc. 264), così come era del resto già stato in precedenza evidenziato dal dott. __________. Da parte sua, il medico __________ (e, con lui, l’amministrazione), a margine della visita di chiusura, si è limitato a riprendere l’esigibilità lavorativa scaturita dalle prove ergonomiche, quindi piena abilità lavorativa in attività sostitutive (“ L’esigibilità al lavoro è stata valutata in occasione della EFL eseguita a __________. Tale valutazione appare adeguata e condivisibile .”), omettendo di approfondire la precisazione formulata dai sanitari EFL. Sempre in questo contesto, il TCA segnala che gli psicologici __________ e __________, autori della valutazione neuropsicologica agli atti, hanno refertato, senza invero fornire alcuna precisazione di carattere eziologico (deficit cognitivi dipendenti dalla diagnosticata patologia psichica oppure dalla problematica algica legata alla diagnosticata CRPS?), che l’assicurato lamenta segnatamente dei “deficit cognitivi multi-dominio riguardanti l’area della memoria e il dominio dell’attenzione e delle funzioni esecutive. Il signore presenta severe difficoltà attentive e di concentrazione che si traducono in fallimenti di memoria a lungo termine verbale a causa di un’alterata capacità di cidifica delle informazioni.”. Tutto ben considerato, sulla scorta di quanto precede, questa Corte ritiene dunque che la presente vertenza non possa essere decisa, con la necessaria tranquillità, senza preliminarmente procedere a un complemento d’istruttoria di natura medica. 2.8.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 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Infine,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STF 8C_274/2021 del 31 marzo 2023 consid. 9.3.3; STF 8C_523/2022 del 23 febbraio 2023 consid. 5.4 e riferimenti; STF 8C_731/2021 succitata consid. 4.6). Nella presente fattispecie, il TCA ritiene che siano adempiuti i presupposti per un rinvio degli atti all’istituto convenuto (cfr. STF 8C_59/2011 del 10 agosto 2011 e DTF 135 V 465), già per il fatto che la decisione impugnata si fonda esclusivamente sul parere del proprio medico ___________. P er le ragioni già diffusamente esposte al considerando 2.7. , si giustifica pertanto l’annullamento della decisione su opposizione impugnata e il rinvio degli atti all’assicuratore resistente affinché disponga un approfondimento peritale esterno (art. 44 LPGA) volto, in ultima analisi, a determinare l’esigibilità lavorativa in relazione al danno alla salute infortunistico. Quindi, tenuto conto delle risultanze del complemento istruttorio, l’CO 1 definirà nuovamente l’entità del grado d’invalidità dell’insorgente. 2.9.  Visto l’esito del ricorso, l’assicuratore verserà all’insorgente, rappresentato da un avvocato, l’importo fr. 2’500 (IVA inclusa) a titolo d’indennità per ripetibili.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