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35.2023.8 vom 3. April 2023</w:t>
      </w:r>
    </w:p>
    <w:p>
      <w:r>
        <w:t>TI Tribunale d'appello, 2023-04-03, IT</w:t>
      </w:r>
    </w:p>
    <w:p>
      <w:r>
        <w:rPr>
          <w:b/>
        </w:rPr>
        <w:t xml:space="preserve">Quelle: </w:t>
      </w:r>
      <w:r>
        <w:t>https://mcp.opencaselaw.ch/entscheid/ti_gerichte_35.2023.8</w:t>
      </w:r>
    </w:p>
    <w:p>
      <w:r>
        <w:t>FR: TI_GERICHTE 35.2023.8 du 3 avril 2023</w:t>
      </w:r>
    </w:p>
    <w:p>
      <w:r>
        <w:t>IT: TI_GERICHTE 35.2023.8 del 3 aprile 2023</w:t>
      </w:r>
    </w:p>
    <w:p>
      <w:pPr>
        <w:pStyle w:val="Heading2"/>
      </w:pPr>
      <w:r>
        <w:t>Regeste</w:t>
      </w:r>
    </w:p>
    <w:p>
      <w:r>
        <w:t>Discussa eziologia di una rottura della cuffia rotatoria della spalla. Rinvio atti per complemento istruttorio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Il ricorso interposto contro la decisione incidentale del 29 dicembre 2022, mediante la quale l’amministrazione aveva rifiutato di ripristinare l’effetto sospensivo dell’opposizione tolto con la decisione formale del 16 novembre 2022, va ritenuto privo di oggetto, avendo l’CO 1 emanato nel frattempo la decisione che ha posto fine alla procedura di opposizione (decisione su opposizione del 16 gennaio 2023 – cfr. doc. 154). Stante ciò, l’impugnativa in questione può essere stralciata dai ruoli. nel merito 2.3.  Dal profilo formale , il rappresentante pretende che l’insorgente sarebbe stato vittima di una violazione del diritto di essere sentito, nella misura in cui, da una parte, l’amministrazione ha emanato la decisione formale senza concedergli preliminarmente la facoltà di esprimersi sul contenuto del rapporto allestito dal proprio medico consulente e, dall’altra, che il provvedimento stesso non sarebbe stato motivato a sufficienza (doc. I, p. 9). Giusta l’art. 44 LPGA, se per chiarire i fatti l’assicuratore deve far ricorso ai servizi di un perito indipendente, ne comunica il nome alla parte. Essa può ricusare il perito per motivi fondati e presentare controproposte (a proposito dei diritti di partecipazione, si veda la DTF 137 V 210). Dalle tavole processuali emerge che, su richiesta dell’amministrazione, il 25 ottobre 2022 il PD dott. __________ si è pronunciato in merito all’eziologia dei disturbi alla spalla destra dell’assicurato (doc. 122). Lo specialista in questione è membro del __________ dell’CO 1 e, in quanto tale, è un consulente medico interno all’amministrazione. Il rapporto allestito dal dott. __________ non può dunque essere qualificato quale perizia elaborata da un esperto indipendente . L’art. 44 LPGA non può qui trovare applicazione e un obbligo a garantire il diritto di essere sentito non può pertanto risultare da questa disposizione di legge (cfr., in proposito, DTF 136 V 117 consid. 3.4 ). Visto quanto precede, non rimane che da chiedersi se il diritto di essere sentito dell’assicurato, sia stato violato in altro modo. L'art. 29 cpv. 2 Cost. e l’art. 42 LPGA garantiscono alle parti il diritto di essere sentite. Giusta la seconda frase dell’art. 42 LPGA, le parti non devono obbligatoriamente essere sentite prima di decisioni impugnabili mediante opposizione. Secondo la giurisprudenza, la limitazione del diritto di essere sentito prevista dalla LPGA consiste soltanto nel fatto che, trattandosi di decisioni che possono essere oggetto di opposizione, la persona assicurata non può pronunciarsi preliminarmente sulla decisione prevista; i restanti aspetti del diritto costituzionale non sono interessati dalla limitazione ( DTF 132 V 368 consid. 4). Nelle procedure che si concludono con decisioni suscettibili d’opposizione, l’assicuratore non è tenuto a notificare una perizia alla persona assicurata prima di procedere all’emanazione della decisione ( DTF 132 V 368 consid. 7). Nella fattispecie di cui alla DTF 132 V 368 - emanata a un momento in cui la procedura di opposizione era prevista anche in materia di assicurazione per l’invalidità -, il Tribunale federale non ha ammesso l’esistenza di una violazione del diritto di essere sentito, sebbene l’Ufficio AI avesse emanato la propria decisione senza preliminarmente consentire alla persona assicurata di prendere posizione sulla perizia __________ da esso ordinata (cfr. il consid. 7 della succitata pronunzia federale). Visti i principi giurisprudenziali appena esposti, il fatto che l’assicuratore abbia emanato la decisione formale senza preliminarmente concedere all’assicurato la facoltà di esprimersi sul contenuto del parere del medico fiduciario posto alla base del provvedimento stesso, non è dunque costitutivo di una violazione del diritto di essere sentito. Occorre del resto rilevare che il patrocinatore del ricorrente, venuto nel frattempo in possesso dell’apprezzamento in questione (cfr. doc. 142), ha potuto far valere ampiamente le proprie ragioni sia con l’opposizione (cfr. doc. 146) sia con l’impugnativa presentata al TCA (cfr. doc. I e doc. VII), autorità di ricorso che gode di piena cognizione, ragione per la quale un’eventuale violazione del diritto di essere sentito risulterebbe comunque sanata. Per quanto attiene alla censura di carente motivazione, è utile rilevare che la giurisprudenza ha dedotto dal diritto di essere sentito anche l’ obbligo per l’autorità di motivare la sua decisione affinché il destinatario possa capirla, eventualmente contestarla e l’autorità di ricorso esercitare il proprio controllo. Per soddisfare tali esigenze, è sufficiente che l’autorità menzioni almeno succintamente i motivi su cui essa ha fondato la propria decisione; essa non ha dunque l’obbligo di esporre e di pronunciarsi su tutti i fatti, i mezzi di prova e le censure invocate dalle parti; essa può per contro limitarsi ai punti essenziali per la decisione da rendere (cfr. DTF 133 III 439 consid. 3.3 e i riferimenti ivi citati). Di regola, la portata dell’obbligo di motivare dipende dalla complessità del caso da giudicare, dal margine di apprezzamento di cui gode l’autorità e dalla potenziale gravità delle conseguenze della sua decisione (cfr. DTF 112 Ia 107 consid. 2b). Esaminata la decisione formale del 16 novembre 2022, il TCA ritiene che essa contenga una succinta ma sufficiente motivazione, tenuto conto della questione su cui l’amministrazione era chiamata a pronunciarsi. In effetti, dalla medesima emerge in modo chiaro che il diritto alle prestazioni (cura medica e indennità giornaliera) sarebbe cessato dal 18 novembre 2022, siccome, in base al parere del dott. __________, i disturbi alla spalla destra non avrebbero più costituito una conseguenza naturale dell’infortunio già a distanza di quattro mesi dall’evento stesso (cfr. doc. 127). Nemmeno da questo profilo può essere ammessa una violazione del diritto di essere sentito. 2.4.  Nel merito , è litigiosa la questione di sapere se l’istituto convenuto era legittimato a porre fine dal 18 novembre 2022 alle proprie prestazioni dipendenti dall’infortunio occorso all’assicurato nel maggio 2021, oppure no. 2.5.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(RAMI 2000 U 363, p. 46 consid. 2 e riferimenti ivi citati). 2.6.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2.7.  Nel caso di specie, dalla decisione su opposizione impugnata si evince che l’assicuratore ha dichiarato estinto dal 18 novembre 2022 il proprio obbligo a prestazioni dipendente dall’evento traumatico assicurato, facendo capo al parere del suo medico fiduciario (cfr. doc. 154, p. 4 s.). In effetti, con apprezzamento del 25 ottobre 2022, il PD dott. __________, spec. FMH in chirurgia ortopedica e traumatologia, ha negato, con il grado della probabilità preponderante, che l’infortunio del maggio 2021 abbia causato delle lesioni strutturali alla spalla destra, precisando in questo senso che “le risonanze magnetiche effettuate mostrano chiari segni di un impingement sotto acromiale con un’artrosi acromion-claveare e lesioni degenerative della cuffia rotatoria. Questo viene confermato dai referti del 02.06.2021 e del 20.05.2022 dove è sempre menzionata una parziale sostituzione adiposa del muscolo sottospinoso, indicando un processo cronico. Nella prima risonanza viene anche descritta una retrazione del tendine che è congruente ad una lesione cronica degenerativa. Nel rapporto operatorio del dr. med. Taverna del 13.10.2021 viene descritta una borsa subacromion-deltoidea con segni di impingement subacromiale in presenza di borsite reattiva. Viene anche scritto che si evidenzia lesione del sovraspinato a livello pre-inserzionale che interessa la puleggia del bicipite. Tutto questo non è tipico per una lesione post-infortunistica. Anche il secondo rapporto operatorio del 13.07.2022 non mette in evidenza segni di conseguenze post- infortunistiche”. Sempre secondo il fiduciario, posto che alla spalla destra preesisteva un inpingement cronico con borsite sottoacromiale e lesioni degenerative della cuffia dei rotatori, l’infortunio in discussione può aver aggravato la situazione (preesistente) con lo status quo sine raggiunto a distanza di circa 3-4 mesi dall’evento stesso (cfr. doc. 122). Unitamente all’opposizione, il patrocinatore ha prodotto un rapporto, datato 20 dicembre 2022, dei dottori __________ e __________, Medico aggiunto, rispettivamente Capoclinica presso il Servizio di ortopedia e traumatologia __________. In quella sede, i curanti specialisti hanno rilevato che l’artro-RMN del giugno 2021 aveva mostrato una retrazione di circa 14 mm del tendine del sovraspinato, segni di entesopatia del sottospinato, una sublussazione mediale del capo lungo del bicipite, un’infiltrazione adiposa di grado II del sottospinato e una moderata artrosi dell’articolazione acromion-claveare. A loro avviso, tali segni sono stati a ragione “ considerati dal medico consulente di CO 1 lesioni degenerative e probabilmente in parte pre-esistenti all’evento traumatico .”. Occorre tuttavia tenere conto che “… prima dell’infortunio il paziente riusciva a portare a termine la propria attività lavorativa, manuale e pesante, in qualità di falegname, senza riferire particolari problemi né di impotenza funzionale. Pertanto, l’evento traumatico ha reso evidente e sicuramente aggravato e peggiorato uno stato in parte pre-esistente .”. I dottori __________ e __________ hanno inoltre osservato che le alterazioni evidenziate dalla RMN del 27 gennaio 2022 (piccola lesione parziale del sovraspinato con netto assottigliamento tendineo e involuzione adiposa dei ventri muscolari), così come i reperti riscontrati a margine dell’intervento del luglio 2022 (piccole lesioni parziali coinvolgenti il sovraspinato e il sottoscapolare), sono di natura degenerativa e cronica. Essi sono quindi giunti alle seguenti conclusioni: " (…) Quindi sulla decisione CO 1 si può obiettare il fatto che il paziente eseguiva un’attività lavorativa manuale e pesante già prima dell’infortunio senza aver mai sofferto di alcun sintomo a livello della spalla destra. All’età di 50 anni, soprattutto dopo aver svolto per anni attività lavorative manuali, una degenerazione tendinea può essere fisiologica ma sino al momento prima del trauma ben compensata dal paziente con la possibilità di utilizzare la spalla e l’artro superiore destro senza alcuna limitazione. L’evento traumatico ha provocato la rottura tendinea molto probabilmente su una cuffia già degenerata portando il paziente ad una completa inabilità lavorativa e la necessità di intervenire chirurgicamente. Nonostante si siano resi evidenti quindi degli elementi di carattere degenerativo agli accertamenti eseguiti pre-operativamente e durante il decorso post-operatorio, possiamo affermare che dal punto di vista medico, le lesioni del Sig. RI 1 possano essere attribuite secondo il criterio della verosimiglianza preponderante all’infortunio del 05.05.2021.” (doc. 147) Prima di procedere all’emanazione della decisione su opposizione impugnata, l’CO 1 ha ancora interpellato il dott. __________, spec. FMH in chirurgia generale e traumatologia, anch’egli membro del Team __________, al quale sono state sottoposte segnatamente le considerazioni espresse dai dottori __________ e __________ per una sua presa di posizione. In particolare, il fiduciario si è discostato dall’opinione dei curanti specialisti, nella misura in cui l’evento traumatico non può aver causato un peggioramento direzionale della situazione pregressa, in quanto “tenuto conto della considerevole lesione al tendine sovraspinato (con retrazione tendinea di 1.4 cm) si può affermare che se l’evento avesse ampliato in modo determinante una lesione preesistente, dopo di questo si sarebbero evidenziati dei deficit funzionali notevoli al braccio destro (drop-arm, pseudoparalisi). Gli esami clinici effettuati dopo l’evento però rilevavano una funzionalità conservata della spalla destra con delle limitazioni solo nei massimi gradi di estensione. Questa situazione può dunque escludere in modo preponderante un aggravamento della degenerazione pregressa al sovraspinato. Non sono neanche presenti segni clinici d’instabilità articolare che potrebbero essere attribuiti ad un possibile aggravamento direzionale. Le valutazioni espresse dal PD dott. med. __________, specialista in chirurgia ortopedica e traumatologia, nel suo rapporto del 25 ottobre 2022, non possono che essere confermate.”. Il dott. __________ ha quindi dichiarato che l’infortunio del maggio 2021 non ha causato, con probabilità preponderante, alcuna lesione strutturale oggettivabile, né un peggioramento duraturo (direzionale) dello stato preesistente ma che esso ne ha invece provocato un aggravamento soltanto transitorio con lo status quo sine raggiunto dopo sei mesi al massimo (doc. 153). Con rapporto del 27 gennaio 2023, il dott. __________, spec. in chirurgia plastica e ricostruttiva, responsabile del Centro di chirurgia della mano presso il __________, ha sostenuto che l’insorgente presentava “… postumi di traumatismo da riferita caduta accidentale, nel quale ha riportato valido, violento e documentato trauma contusivo distorsivo della spalla destra, con lesione postraumatica della cuffia dei rotatori, documentata strumentalmente con artro RMN della spalla e che ha necessitato di trattamento chirurgico. Il tipo di lesioni riportate sono compatibili in termini di nesso eziopatogenico, cronologico e topografico con il meccanismo traumatico riferito in anamnesi dal paziente e con la documentazione sanitaria prodotta.”. Secondo lo specialista interpellato privatamente dal ricorrente, le alterazioni messe in luce della RMN del giugno 2021 sono “… da intendersi come lesioni degenerative e probabilmente in parte pre-esistenti all’evento traumatico.”, tuttavia, “… poiché nella definizione dell’indennizzo per patologie traumatiche di spalla la mera coesistenza di fenomeni degenerative osteo-articolari non esclude a priori l’indennizzo di un evento lesivo se – a fronte di una acclarata idoneità lesiva – dannosa, come nel caso di specie, tali manifestazioni sono prive di significato clinico e anatomo-patologico.”. In concreto, considerato che l’assicurato prima dell’infortunio riusciva a svolgere un’attività lavorativa di tipo manuale, “… appare evidente che sicuramente l’evento traumatico ha aggravato e peggiorato la condizione anatomica della cuffia dei rotatori in maniera preponderante.” (doc. 162, p. 3 ss.). Con apprezzamento 10 febbraio 2023, il dott. __________ ha commentato criticamente le considerazioni enunciate dal dott. __________. Innanzitutto, egli ha contestato il fatto che l’insorgente abbia riportato un trauma il cui meccanismo sarebbe adeguato a causare, con il grado della verosimiglianza preponderante, le lesioni interessanti i tendini sovra- e infraspinato della spalla destra. D’altra parte, il fiduciario ha affermato di non poter condividere la tesi secondo cui l’infortunio in discussione avrebbe causato la sublussazione del capo lungo del bicipite, tenuto conto che, secondo la letteratura scientifica, “… la maggior parte delle lesioni della cuffia dei rotatori insorge sulla base di alterazioni degenerative [3] [4] e che queste si possono riscontrare anche in persone esenti da sintomi [5] [6]. Le alterazioni della cuffia dei rotatori dovute all’usura sono collegate anche a quelle del tendine del bicipite e di altre strutture intra articolari che si possono condizionare reciprocamente [7]. Potremmo discutere anche i segni secondari della risonanza magnetica dopo un evento traumatico. Questo sono però già stati esposti dal sottoscritto nell’apprezzamento 13 gennaio 2023.” (doc. V 1).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 35 consid. 4b). 2.9. Attentamente vagliato l’insieme della documentazione a sua disposizione , questo Tribunale non ritiene di poter confermare la decisione impugnata, nella misura in cui l’CO 1 ha posto fine alle proprie prestazioni dal 18 novembre 2022, ritenendo che a quel momento l’insorgente abbia raggiunto lo status quo sine a margine dell’infortunio del maggio 2021. Preliminarmente, va rilevato che, non essendo la decisione impugnata fondata su una perizia esterna (cfr. supra , consid. 2.7.), può trovare applicazione la giurisprudenza di cui alla DTF 135 V 465, secondo la quale dei lievi dubbi circa l’affidabilità di un rapporto medico bastano per potersene discostare (cfr. supra , consid. 2.8.). Ora, ai referti dei dottori __________ e __________, sui quali si fonda appunto la decisione su opposizione in esame, non può essere riconosciuto un valore probatorio sufficiente per concludere, con la necessaria tranquillità, che l’evento traumatico assicurato abbia peggiorato soltanto transitoriamente il preesistente stato morboso della spalla destra. Infatti, come è già stato messo in evidenza al considerando 2.7., su questo aspetto di natura squisitamente medica (e cioè se il preesistente stato morboso della spalla - aspetto riguardo al quale tutti i medici sono concordi - è stato peggiorato direzionalmente oppure soltanto transitoriamente dall’infortunio del 5 maggio 2021) agli atti figurano rapporti medici, specificatamente quelli elaborati dagli specialisti consultati da RI 1, il cui contenuto è atto a generare dei dubbi, perlomeno lievi, circa la correttezza della valutazione su cui l’amministrazione ha finalmente fondato la propria posizione (per dei casi, riguardanti proprio l’eziologia di disturbi interessanti la spalla della persona assicurata, in cui la Corte federale ha rinviato gli atti a fronte della discordanza dei pareri espressi dagli specialisti intervenuti, si vedano le sentenze 8C_410/2022 del 23 dicembre 2022 consid. 7.3; 8C_731/2021 del 26 agosto 2022 consid. 4.4; 8C_445/2021 del 14 gennaio 2022 consid. 4.4; 8C_673/2020 del 25 giugno 2021 consid. 4.5; 8C_637/2020 del 4 marzo 2021 consid. 5.1 e 5.2). Pur tenendo presente che, in ossequio a una costante giurisprudenza, la regola del “ post hoc ergo propter hoc ” (dopo questo, dunque a causa di questo) non ha valenza scientifica, il TCA, analogamente ai curanti specialisti, ritiene sia lecito perlomeno chiedersi come il ricorrente abbia potuto esercitare regolarmente la propria professione di falegname, un’attività manuale che notoriamente sollecita gli arti superiori (cfr. doc. 39, p. 2), se già, prima dell’infortunio, si era in presenza di un importante danno alla spalla destra, quale quello refertato intraoperativamente (rottura di grosse dimensioni dei tendini dei muscoli sovra- e sottospinato) (cfr., in questo senso, la STF 8C_401/2019 del 9 giugno 2020 consid. 5.3.2).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DTF 135 V 465 e le STF 8C_445/2021 succitata consid. 3.3 e 8C_247/2018 del 1° aprile 2019 consid. 6.2.2).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8C_523/2022 del 23 febbraio 2023 consid. 5.4 e 8C_731/2021 succitata consid. 4.6). Nella presente fattispecie, il TCA ritiene che siano soddisfatti i presupposti per un rinvio degli atti all’istituto convenuto (cfr. STF 8C_59/2011 del 10 agosto 2011 e DTF 135 V 465), già per il fatto che esso ha fondato la decisione impugnata sul solo parere dei propri medici interni. Per le ragioni già esposte al considerando 2.9., si giustifica pertanto l’annullamento della decisione su opposizione impugnata e il rinvio degli atti all’assicuratore resistente affinché disponga un approfondimento peritale esterno (art. 44 LPGA) volto a chiarire, tenendo conto di tutti i fattori medicalmente determinanti (cfr. STF 8C_445/2021 succitata), l’origine dei disturbi denunciati dall’assicurato alla spalla destra a far tempo dal 18 novembre 2022. In seguito, facendo capo alle risultanze dell’accertamento esperito, l’amministrazione si pronuncerà di nuovo in merito al diritto a prestazioni dal profilo temporale e materiale. 2.11.  Visto l’esito del ricorso, l’assicuratore verserà all’insorgente, rappresentato dall’MLaw RA 1, l’importo fr. 2'500 (IVA inclusa) a titolo d’indennità per ripetibili.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