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35.2023.62 vom 14. Dezember 2023</w:t>
      </w:r>
    </w:p>
    <w:p>
      <w:r>
        <w:t>TI Tribunale d'appello, 2023-12-14, IT</w:t>
      </w:r>
    </w:p>
    <w:p>
      <w:r>
        <w:rPr>
          <w:b/>
        </w:rPr>
        <w:t xml:space="preserve">Quelle: </w:t>
      </w:r>
      <w:r>
        <w:t>https://mcp.opencaselaw.ch/entscheid/ti_gerichte_35.2023.62</w:t>
      </w:r>
    </w:p>
    <w:p>
      <w:r>
        <w:t>FR: TI_GERICHTE 35.2023.62 du 14 décembre 2023</w:t>
      </w:r>
    </w:p>
    <w:p>
      <w:r>
        <w:t>IT: TI_GERICHTE 35.2023.62 del 14 dicembre 2023</w:t>
      </w:r>
    </w:p>
    <w:p>
      <w:pPr>
        <w:pStyle w:val="Heading2"/>
      </w:pPr>
      <w:r>
        <w:t>Regeste</w:t>
      </w:r>
    </w:p>
    <w:p>
      <w:r>
        <w:t>Istituto assicuratore era legittimato a sospendere il proprio obbligo a prestazioni, con effetto ex nunc et pro futuro, per status quo sine raggiunto</w:t>
      </w:r>
    </w:p>
    <w:p>
      <w:pPr>
        <w:pStyle w:val="Heading2"/>
      </w:pPr>
      <w:r>
        <w:t>Erwägungen</w:t>
      </w:r>
    </w:p>
    <w:p>
      <w:r>
        <w:rPr>
          <w:b/>
        </w:rPr>
        <w:t>E. 18</w:t>
      </w:r>
    </w:p>
    <w:p>
      <w:r>
        <w:t>ottobre 2021 consid. 2.12). Sul tema, cfr. anche STF 9C_369/2022 del 19 settembre 2022; STF 9C_368/2021 del 2 giugno 2022; SVR 2022 KV Nr. 18 (STF 9C_13/2022 del 16 febbraio 2022); STF 9C_394/2021 del 3 gennaio 2022; STF 8C_265/2021 del 21 luglio 2021 (al riguardo cfr. Ares Bernasconi, Actualités du TF, 8C_265/2021 du 21 juillet 2021 - frais judiciaires pour les tribunaux cantonaux des assurances selon la révision de la LPGA du 21 juin 2019, in SZS/RSAS 2/2022 pag. 107).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