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35.2023.52 vom 13. November 2023</w:t>
      </w:r>
    </w:p>
    <w:p>
      <w:r>
        <w:t>TI Tribunale d'appello, 2023-11-13, IT</w:t>
      </w:r>
    </w:p>
    <w:p>
      <w:r>
        <w:rPr>
          <w:b/>
        </w:rPr>
        <w:t xml:space="preserve">Quelle: </w:t>
      </w:r>
      <w:r>
        <w:t>https://mcp.opencaselaw.ch/entscheid/ti_gerichte_35.2023.52</w:t>
      </w:r>
    </w:p>
    <w:p>
      <w:r>
        <w:t>FR: TI_GERICHTE 35.2023.52 du 13 novembre 2023</w:t>
      </w:r>
    </w:p>
    <w:p>
      <w:r>
        <w:t>IT: TI_GERICHTE 35.2023.52 del 13 novembre 2023</w:t>
      </w:r>
    </w:p>
    <w:p>
      <w:pPr>
        <w:pStyle w:val="Heading2"/>
      </w:pPr>
      <w:r>
        <w:t>Regeste</w:t>
      </w:r>
    </w:p>
    <w:p>
      <w:r>
        <w:t>Discussa la questione di sapere se l'assicurata, già beneficiaria di una rendita d'invalidità LAINF, continua ad aver diritto alle prestazioni di cura medica una volta raggiunta l'età di pensionamento AVS</w:t>
      </w:r>
    </w:p>
    <w:p>
      <w:pPr>
        <w:pStyle w:val="Heading2"/>
      </w:pPr>
      <w:r>
        <w:t>Erwägungen</w:t>
      </w:r>
    </w:p>
    <w:p>
      <w:r>
        <w:rPr>
          <w:b/>
        </w:rPr>
        <w:t>E. 1</w:t>
      </w:r>
    </w:p>
    <w:p>
      <w:r>
        <w:t>ha raggiunto ormai da anni l’età di pensionamento ordinaria AVS. Gli atti vengono quindi retrocessi all’amministrazione affinché, tenuto conto di quanto precede, decida nuovamente, se del caso previa disposizione di un approfondimento medico specialistico, in merito all’assunzione dei costi legati all'intervento chirurgico programmato per il 25 settembre 2023. 2.6. L’insorgente, vincente in causa, è patrocinata dalla figlia (avvocato). Si pone dunque la questione di sapere se le può essere riconosciuto il diritto a ripetibili.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 287 consid. 4), parentale (art. 296 segg. CC; DTF 129 V 113 consid. 4.1) o altrimenti familiare (art. 328 CC; DTF 129 V 113 consid. 4.1 con riferimenti). Nella concreta evenienza, non risulta che l’avv. RA 1 abbia un interesse proprio all’esito della presente procedura ricorsuale, ragione per la quale nulla osta all’assegnazione di un’indennità per ripetibili, che viene fissata in un importo di fr. 2000 (IVA inclusa).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