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35.2023.39 vom 14. August 2023</w:t>
      </w:r>
    </w:p>
    <w:p>
      <w:r>
        <w:t>TI Tribunale d'appello, 2023-08-14, IT</w:t>
      </w:r>
    </w:p>
    <w:p>
      <w:r>
        <w:rPr>
          <w:b/>
        </w:rPr>
        <w:t xml:space="preserve">Quelle: </w:t>
      </w:r>
      <w:r>
        <w:t>https://mcp.opencaselaw.ch/entscheid/ti_gerichte_35.2023.39</w:t>
      </w:r>
    </w:p>
    <w:p>
      <w:r>
        <w:t>FR: TI_GERICHTE 35.2023.39 du 14 août 2023</w:t>
      </w:r>
    </w:p>
    <w:p>
      <w:r>
        <w:t>IT: TI_GERICHTE 35.2023.39 del 14 agosto 2023</w:t>
      </w:r>
    </w:p>
    <w:p>
      <w:pPr>
        <w:pStyle w:val="Heading2"/>
      </w:pPr>
      <w:r>
        <w:t>Regeste</w:t>
      </w:r>
    </w:p>
    <w:p>
      <w:r>
        <w:t>Discussa eziologia disturbi al rachide cervicale e ad una spalla. Ammesso raggiungimento status quo sine vel ante</w:t>
      </w:r>
    </w:p>
    <w:p>
      <w:pPr>
        <w:pStyle w:val="Heading2"/>
      </w:pPr>
      <w:r>
        <w:t>Erwägungen</w:t>
      </w:r>
    </w:p>
    <w:p>
      <w:r>
        <w:rPr>
          <w:b/>
        </w:rPr>
        <w:t>E. 5</w:t>
      </w:r>
    </w:p>
    <w:p>
      <w:r>
        <w:t>b/bb, 118 V 286 e 117 V 365 in fine; Meyer-Blaser, Kausalitätsfragen aus dem Gebiet des Sozialversicherungs-rechts, in: SZS 2/1994 p. 104 s.; Frésard, L'assurance-accidents obligatoire, in: Schweizerisches Bundesverwaltungsrecht [SBVR], n. 39). 2.5.  Nel caso di specie, dalla decisione su opposizione impugnata risulta che l’assicuratore resistente ha posto fine alle prestazioni dipendenti dall’evento traumatico assicurato, facendo capo ai pareri espressi in proposito dai propri medici consulenti (cfr. doc. 106, p. 6). Preliminarmente, va evidenziato che l’CO 1 ha disposto l’esecuzione di un’analisi biomeccanica dell’incidente accaduto alla ricorrente, valutazione effettuata dall’ing. __________ dell’__________. Dal relativo rapporto risulta in particolare che il delta-v del veicolo alla cui guida si trovava RI 1, si situa nell’intervallo 15-21 km/h (cfr. doc. 95). Con rapporto del 12 settembre 2018, il dott. __________, spec. FMH in medicina interna generale, ha diagnosticato una distorsione cervicale, una tendinopatia del sovraspinato della spalla destra e delle alterazioni degenerative interessanti il rachide cervicale. A suo avviso, l’evento assicurato ha provocato un peggioramento transitorio delle preesistenti alterazioni degenerative della colonna cervicale, mentre per quanto riguarda i disturbi alla spalla destra l’infortunio non ha giocato alcun ruolo causale. Il dott. __________ ha infine sostenuto che, trattandosi del rachide cervicale, lo status quo sine vel ante è stato raggiunto, al più tardi, trascorsi 6 mesi dal sinistro (cfr. doc. 97). Nel quadro della procedura di opposizione, l’amministrazione ha interpellato il dott. __________, spec. FMH in chirurgia ortopedica e traumatologia, attivo presso la __________. Per quanto qui d’interesse, lo specialista ha sostenuto che in concreto risultano documentati i sintomi tipici di una sindrome cervicale e di un lieve impingement della cuffia dei rotatori della spalla destra. Secondo il dott. __________, l’evento del 23 maggio 2016 ha causato un peggioramento transitorio del preesistente stato degenerativo del rachide cervicale, come pure di quello, meno pronunciato, della spalla destra. Rispondendo alla domanda riguardante il momento in cui sarebbe stato raggiunto lo status quo sine vel ante , egli si è dichiarato pienamente d’accordo con la valutazione del dott. __________, nel senso che al più tardi 6 mesi dopo l’incidente l’assicurata ha ritrovato lo status quo ante . A suo avviso, tenuto conto dell’entità del delta-v accertato mediante l’analisi biomeccanica, sarebbe anzi sostenibile fissare lo status quo ante a distanza di soli 3 mesi. Il dott. __________ ha infine precisato che, in base alla documentazione a sua disposizione, non è stata oggettivata, né clinicamente né mediante esami radio-strumentali, una lesione strutturale attribuibile all’infortunio del maggio 2016. Per contro, sussistono, quali preesistenze, dei rilevanti segni di una degenerazione osteocartilaginea della colonna cervicale, all’origine delle lunghe cure e della parziale inabilità lavorativa dell’insorgente (cfr. doc. 105).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Tutto ben considerato, attentamente vagliato l’insieme della documentazione agli atti, questo Tribunale ritiene di poter validamente fondare il proprio giudizio sul parere dei medici interpellati dall’CO 1, principalmente su quello del dott. __________ in quanto specialista proprio nella materia che qui interessa, secondo il quale il sinistro del maggio 2016 ha peggiorato soltanto transitoriamente il preesistente stato morboso del rachide cervicale e della spalla destra, con lo status quo sine vel ante raggiunto, al più tardi, a distanza di sei mesi da quell’evento. In particolare, il TCA osserva che al momento in cui l’amministrazione ha posto termine alle proprie prestazioni (novembre 2016), i disturbi denunciati dall’assicurata erano circoscritti alla colonna cervicale e alla spalla destra. D’altro canto, va rilevato che gli accertamenti diagnostici posti in atto in concreto non hanno in effetti permesso di oggettivare, né a livello cervicale né a quello della spalla destra, una qualsiasi lesione strutturale imputabile all’infortunio (cfr. allegati al doc. 63), ciò che parla evidentemente a favore del fatto che l’evento infortunistico ha semplicemente scatenato la sintomatologia presentata dalla ricorrente. Inoltre, anche la tempistica ( sei mesi ) con la quale, secondo i consulenti dell’assicuratore, è stato raggiunto lo status quo sine vel ante in relazione al trauma al rachide cervicale subito dall’assicurata in occasione del noto incidente stradale, appare conforme alla dottrina medica dominante, in base alla quale dopo traumi quali contusioni o distorsioni alla colonna vertebrale, lo stato anteriore del rachide può, di regola, considerarsi ristabilito trascorsi alcuni mesi a contare dall'evento traumatico (3-4 mesi in caso di trauma alla regione lombare, rispettivamente 6-9 mesi, al massimo un anno, in presenza di preesistenti alterazioni degenerative - cfr. STFA U 250/06 del 17 luglio 2007, consid. 4.2), come se l'infortunio non fosse mai sopraggiunto (cfr. Bär/Kiener, Traumatismes vertébraux, in: Informations médicales N. 67/décembre 1994, p. 45 ss., contributo in cui viene illustrata, con dovizia di riferimenti, la posizione della dottrina medica dominante in materia appunto di traumi vertebrali; si veda pure E. Morscher/G. Chapchal, Schäden des Stütz- und Bewegungsapparates nach Unfällen: Wirbelsäule, in: Versicherungsmedizin, Hrsg. E. Baur, U. Nigst, Berna 1973; 3a ed. 1985). Questa tesi dottrinale è stata peraltro recepita dalla giurisprudenza. Quindi, secondo il Tribunale federale, un aggravamento post-traumatico (senza lesione strutturale associata) di uno stato degenerativo anteriore della colonna vertebrale, precedentemente asintomatico, cessa di produrre i propri effetti trascorsi dai sei ai nove mesi, al più tardi dopo un anno (cfr. SVR 2009 UV Nr. 1 p. 1; STF 8C_793/2018 del 7 maggio 2019 consid. 3.1.4; 8C_42/2017 del 16 febbraio 2017 consid. 4.3; 8C_217/2013 del 4 settembre 2013 consid. 3.4; 8C_562/2010 del 3 agosto 2011 consid. 5.1, 8C_314/2011 del 12 luglio 2011 consid. 7.2.3, 8C_416/2010 del 29 novembre 2010 consid. 3.3 e 8C_679/2010 del</w:t>
      </w:r>
    </w:p>
    <w:p>
      <w:r>
        <w:rPr>
          <w:b/>
        </w:rPr>
        <w:t>E. 10</w:t>
      </w:r>
    </w:p>
    <w:p>
      <w:r>
        <w:t>novembre 2010 consid. 3.3). Del resto, dalla restante documentazione non emergono pareri specialistici divergenti, suscettibili di generare dei dubbi, nemmeno lievi (cfr. supra , consid. 2.6.), a proposito della correttezza dell’apprezzamento espresso dai medici fiduciari dell’CO 1. In esito a tutto quanto precede, occorre quindi ritenere dimostrato, perlomeno con il grado della verosimiglianza preponderante, caratteristico del settore della sicurezza sociale, che, dal 23 novembre 2016 - trascorsi sei mesi dall’infortunio - i disturbi ancora accusati dalla ricorrente non ne costituivano più una conseguenza naturale (stante ciò, può rimanere aperta la questione riguardante l’adeguatezza del nesso causale). Da quel momento, l’amministrazione era pertanto legittimata a negare la corresponsione di ulteriori prestazioni assicurative. Con l’impugnativa, il patrocinatore fa valere che la comunicazione mail del 7 settembre 2017, mediante la quale l’CO 1 ha informato l’ex datore di lavoro dell’assicurata che il versamento delle prestazioni era stato sospeso a far tempo dal 23 maggio 2017, costituirebbe una decisione informale nel frattempo cresciuta in giudicato, di modo che, in assenza di un valido titolo di revoca (riconsiderazione o revisione processuale), l’assicuratore non sarebbe più legittimato a ritornarvi. Ora, secondo questo Tribunale, quand’anche alla succitata comunicazione si volesse attribuire il valore di una decisione de facto , l’esito non potrebbe comunque essere quello che auspica l’RA 1. In effetti, con la DTF 130 V 380 (= SVR 2004 UV Nr. 16 p. 53), la Corte federale ha stabilito che l’assicuratore infortuni ha la possibilità di porre fine, con effetto ex nunc e pro futuro , al proprio obbligo prestativo, inizialmente riconosciuto informalmente, senza doversi richiamare a un motivo di revoca (riconsiderazione o revisione processuale) . È solo nel caso in cui pretenda la restituzione di prestazioni assicurative indebitamente versate - ciò che non è il caso nella presente fattispecie (cfr. supra , consid. 1.2.) - che esso deve richiamarsi a un tale motivo. Va segnalato che il TCA ha, ad esempio, applicato questa giurisprudenza in una sentenza 35.2015.1 del 26 febbraio 2015, riguardante il caso di un assicuratore LAINF che, nel giugno 2014, aveva comunicato alla persona assicurata l’assunzione dei costi di un ciclo di cromoterapia, mentre con decisione formale del 18 settembre 2014 aveva posto termine al proprio obbligo a prestazioni con effetto retroattivo a far tempo dal 22 luglio 2014, rinunciando a pretendere la restituzione delle prestazioni corrisposte nel frattempo.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