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 vom 20. Oktober 2022</w:t>
      </w:r>
    </w:p>
    <w:p>
      <w:r>
        <w:t>TI Tribunale d'appello, 2022-10-20, IT</w:t>
      </w:r>
    </w:p>
    <w:p>
      <w:r>
        <w:rPr>
          <w:b/>
        </w:rPr>
        <w:t xml:space="preserve">Quelle: </w:t>
      </w:r>
      <w:r>
        <w:t>https://mcp.opencaselaw.ch/entscheid/ti_gerichte_35.2023.1_d20221020</w:t>
      </w:r>
    </w:p>
    <w:p>
      <w:r>
        <w:t>FR: TI_GERICHTE 35.2023.1 du 20 octobre 2022</w:t>
      </w:r>
    </w:p>
    <w:p>
      <w:r>
        <w:t>IT: TI_GERICHTE 35.2023.1 del 20 ottobre 2022</w:t>
      </w:r>
    </w:p>
    <w:p>
      <w:pPr>
        <w:pStyle w:val="Heading2"/>
      </w:pPr>
      <w:r>
        <w:t>Regeste</w:t>
      </w:r>
    </w:p>
    <w:p>
      <w:r>
        <w:t>Estinzione del nesso di causalità naturale tra i disturbi ancora presentati e l'infortunio non può essere confermata, senza che prima si accerti, mediante perizia esterna, la natura traumatica o meno degli stessi</w:t>
      </w:r>
    </w:p>
    <w:p>
      <w:pPr>
        <w:pStyle w:val="Heading2"/>
      </w:pPr>
      <w:r>
        <w:t>Erwägungen</w:t>
      </w:r>
    </w:p>
    <w:p>
      <w:r>
        <w:rPr>
          <w:b/>
        </w:rPr>
        <w:t>E. 25</w:t>
      </w:r>
    </w:p>
    <w:p>
      <w:r>
        <w:t>febbraio 2022 il medico curante, dr. __________, spec. FMH in medicina generale, ha posto la diagnosi di esiti di distorsione caviglia dx, osservando che alla visita dell11 gennaio 2021 si constata una caviglia stabile clinicamente, non ematomi, non gonfiore (doc. 25).</w:t>
      </w:r>
    </w:p>
    <w:p>
      <w:r>
        <w:t>In data 1° marzo 2022 lassicurata è stata sottoposta ad un esame RM caviglia destra, il cui esito è stato:</w:t>
      </w:r>
    </w:p>
    <w:p>
      <w:r>
        <w:t>Vista la persistenza dei sintomi, il dr. __________ ha ritenuto opportuno richiedere una visita specialistica al dr. __________, spec. FMH ortopedia e traumatologia. Questultimo, con rapporto del 14 luglio 2022, ha in particolare osservato:</w:t>
      </w:r>
    </w:p>
    <w:p>
      <w:r>
        <w:t>Con successivo referto del 16 agosto 2022, il dr. __________, posta tra laltro la diagnosi di fibromialgia, ha aggiornato il dr. __________ sui risultati delleffetto dellinfiltrazione, rilevando:</w:t>
      </w:r>
    </w:p>
    <w:p>
      <w:r>
        <w:t>2.8.  In sede ricorsuale, linsorgente ha contestato linterruzione delle prestazioni decisa dallamministrazione, producendo, a comprova delle proprie pretese, un referto del dr. __________, datato 26 dicembre 2022 e indirizzato al proprio legale, del seguente tenore:</w:t>
      </w:r>
    </w:p>
    <w:p>
      <w:r>
        <w:t>Con apprezzamento medico del 25 gennaio 2023 il dr. med. __________, specialista FMH in chirurgia ortopedica e traumatologia dellapparato locomotore, medico fiduciario dellassicuratore infortuni, dopo avere personalmente visionato le immagini e il referto della RM della caviglia destra del 1° marzo 2022, ha fornito la seguente valutazione:</w:t>
      </w:r>
    </w:p>
    <w:p>
      <w:r>
        <w:t>Il legale dellinsorgente ha contestato tale valutazione, trasmettendo, a sostegno delle proprie pretese, una nuova presa di posizione del dr. __________, del 31 gennaio 2023, del seguente tenore:</w:t>
      </w:r>
    </w:p>
    <w:p>
      <w:r>
        <w:t>2.9.  Chiamato ora a pronunciarsi, tutto ben ponderato, il TCA non può, con la necessaria, tranquillità confermare la conclusione alla quale è giunto il dr. __________, contraddetta dal dr. __________, ma ritiene indispensabile che la natura traumatica o meno del danno alla salute ancora patito dallassicurata faccia oggetto di ulteriori approfondimenti, prima di potersi esprimere riguardo al diritto alle prestazioni.</w:t>
      </w:r>
    </w:p>
    <w:p>
      <w:r>
        <w:t>In questo senso, questa Corte ritiene eccessivamente stringato il ragionamento esposto dal dr. __________ nellapprezzamento del 14 settembre 2022 al fine di escludere la presenza, nel caso di specie, di una sindrome da impingement post-traumatica.</w:t>
      </w:r>
    </w:p>
    <w:p>
      <w:r>
        <w:t>Tutto ben considerato, nel caso concreto, emergono dunque elementi suscettibili di generare dei dubbi, perlomeno lievi, circa laffidabilità del parere sul quale lamministrazione ha fondato la propria decisione, dubbi che inducono questa Corte a scostarsene (per un caso in cui il TF ha annullato il giudizio cantonale e rinviato la causa per nuova decisione, ritenendo che i referti agli atti dei medici curanti della persona assicurata fossero atti a suscitare un, almeno minimo, dubbio circa la pertinenza del parere espresso dal medico fiduciario a proposito della causalità, si veda la STF 8C_517/2017 del 12 luglio 2018 consid. 6.2.).</w:t>
      </w:r>
    </w:p>
    <w:p>
      <w:r>
        <w:t>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w:t>
      </w:r>
    </w:p>
    <w:p>
      <w:r>
        <w:t>Il TF ha, al riguardo, sviluppato le seguenti considerazioni:</w:t>
      </w:r>
    </w:p>
    <w:p>
      <w:r>
        <w:t>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376E. 4.2.3 S. 381). Dies schliesst ein, dass die erstinstanzlichen Gerichte diese Befugnis nicht ohne Not durch Rückweisung an die Verwaltung delegieren dürfen.</w:t>
      </w:r>
    </w:p>
    <w:p>
      <w:r>
        <w:t>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407E. 2.1.1 S. 411). In der hier massgebenden Verfahrenssituation schlägt diese Rechtfertigung für eine Rückweisung indessen nicht durch.</w:t>
      </w:r>
    </w:p>
    <w:p>
      <w:r>
        <w:t>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w:t>
      </w:r>
    </w:p>
    <w:p>
      <w:r>
        <w:t>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23.Februar 2011 E. 4; vgl. auch SVR 2010 IV Nr. 49 S. 151 E. 3.5, 9C_85/2009).(DTF 137 V 263-265)</w:t>
      </w:r>
    </w:p>
    <w:p>
      <w:r>
        <w:t>In una sentenza 8C_59/2011 del 10 agosto 2011 consid. 5.2  dunquesuccessivaa quella pubblicata in DTF 137 V 210 -, emanata in materia di assicurazione contro gli infortuni, il Tribunale federale ha ribadito i principi sviluppati nella DTF 135 V 465, in particolare che, in presenza di dubbi circa laffidabilità di rapporti allestiti damedici di fiducia, il giudice (cantonale) è libero di scegliere se ordinare direttamente una perizia giudiziaria oppure rinviare gli atti allamministrazione affinché disponga essa stessa una perizia seguendo la procedura di cui allart. 44 LPGA:</w:t>
      </w:r>
    </w:p>
    <w:p>
      <w:r>
        <w:t>In una sentenza 8C_412/2019 del 9 luglio 2020 consid. 5.4, la Corte federale ha rinviato la causa allassicuratore LAINF(e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w:t>
      </w:r>
    </w:p>
    <w:p>
      <w:r>
        <w:t>(si veda pure la STF 8C_697/2019, 8C_698/2019 del 9 novembre 2020 consid. 4.1).</w:t>
      </w:r>
    </w:p>
    <w:p>
      <w:r>
        <w:t>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w:t>
      </w:r>
    </w:p>
    <w:p>
      <w:r>
        <w:t>Nella presente fattispecie, il TCA ritiene che siano soddisfatti i presupposti per un rinvio degli atti allistituto convenuto (cfr. STF 8C_59/2011 del 10 agosto 2011 e DTF 135 V 465), già per il fatto che esso ha fondato la decisione impugnata sul solo parere del proprio medico __________.</w:t>
      </w:r>
    </w:p>
    <w:p>
      <w:r>
        <w:t>Per le ragioni già esposte al considerando 2.9., si giustifica pertanto, lannullamento della decisione su opposizione impugnata e il rinvio degli atti allassicuratore resistente affinché disponga un approfondimento peritale esterno (art. 44 LPGA) voltoa definire, tenendo conto di tutti ifattori medicalmente determinanti (cfr. STF 8C_445/2021 del 14 gennaio 2022, sopra citata),lorigine dei disturbi denunciati dallassicurata alla caviglia destra a far tempo dal 1° ottobre 2022.</w:t>
      </w:r>
    </w:p>
    <w:p>
      <w:r>
        <w:t>In seguito, facendo capo alle risultanze dellaccertamento esperito, lamministrazione si pronuncerà di nuovo in merito al diritto a prestazionidal profilo temporale e materiale.</w:t>
      </w:r>
    </w:p>
    <w:p>
      <w:r>
        <w:t>2.12.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prevede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Trattandosi di una controversia relativa a prestazioni LAINF, il legislatore non ha previsto di prelevare le spese.</w:t>
      </w:r>
    </w:p>
    <w:p>
      <w:r>
        <w:t>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