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35.2023.115 vom 22. März 2024</w:t>
      </w:r>
    </w:p>
    <w:p>
      <w:r>
        <w:t>TI Tribunale d'appello, 2024-03-22, IT</w:t>
      </w:r>
    </w:p>
    <w:p>
      <w:r>
        <w:rPr>
          <w:b/>
        </w:rPr>
        <w:t xml:space="preserve">Quelle: </w:t>
      </w:r>
      <w:r>
        <w:t>https://mcp.opencaselaw.ch/entscheid/ti_gerichte_35.2023.115</w:t>
      </w:r>
    </w:p>
    <w:p>
      <w:r>
        <w:t>FR: TI_GERICHTE 35.2023.115 du 22 mars 2024</w:t>
      </w:r>
    </w:p>
    <w:p>
      <w:r>
        <w:t>IT: TI_GERICHTE 35.2023.115 del 22 marzo 2024</w:t>
      </w:r>
    </w:p>
    <w:p>
      <w:pPr>
        <w:pStyle w:val="Heading2"/>
      </w:pPr>
      <w:r>
        <w:t>Erwägungen</w:t>
      </w:r>
    </w:p>
    <w:p>
      <w:r>
        <w:rPr>
          <w:b/>
        </w:rPr>
        <w:t>E. 28</w:t>
      </w:r>
    </w:p>
    <w:p>
      <w:r>
        <w:t>febbraio 2019, concernente il caso di un assicurato che si era infortunato alla spalla destra mentre stava giocando a pallanuoto, il Tribunale federale - ritenendo corretta la valutazione del medico fiduciario, peraltro non smentita tramite refertazioni specialistiche di senso contrario, e basandosi sulle risultanze dell’esame MRI, dal quale risultavano solo alterazioni degenerative - ha confermato l’avvenuto raggiungimento dello status quo sine a distanza di circa due mesi dall’evento, come deciso dai primi giudici. In quel caso, in particolare, l’Alta Corte ha considerato pienamente probante il ragionamento sviluppato dal medico fiduciario dell’amministrazione per spiegare quali meccanismi e quali movimenti fossero necessari per produrre una rottura traumatica della cuffia dei rotatori, la quale avrebbe comportato delle lesioni con determinate corrispondenti caratteristiche morfologiche, non presenti nel caso oggetto di disamina. Da tali elementi si doveva quindi concludere, a suo modo di vedere, che i disturbi che l’assicurato continuava ad accusare alla spalla dopo due mesi dall’evento non fossero più prevalentemente correlati al trauma, ma costituissero, piuttosto, delle conseguenze delle degenerazioni preesistenti. In un’altra sentenza STF 8C_485/2014 del 24 giugno 2015, il Tribunale federale, annullando quanto deciso dai giudici cantonali, ha confermato la decisione con la quale l’amministrazione, fondandosi sul parere del proprio medico di fiducia, aveva considerato raggiunto lo status quo sine tre mesi dopo la contusione subita dall’assicurato alla spalla destra, contusione che aveva scompensato una alterazione preesistente e rimasta fino a quel momento asintomatica. In esito a tutto quanto precede, il TCA ritiene che l’assicuratore resistente era legittimato a sospendere il proprio obbligo a prestazioni in relazione all’evento dell’8 dicembre 2022. In tale contesto è peraltro utile ricordare che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Ciò è il caso nella presente fattispecie in cui il consulente dell’CO 1 ha espresso la propria valutazione in base a tutta la documentazione medica e non da ultimo proprio ai referti elaborati dal dr. med. __________ a seguito di ripetute visite personali della ricorrente. Va infine segnalato che l’Alta Corte ha precisato che l’assicuratore infortuni non è tenuto a dimostrare l’esistenza di una causa extra-infortunistica a cui imputare i disturbi accusati dall’interessato (cfr. STF 8C_167/2018 del 28 febbraio 2019 , STFA U 152/03 del 21 aprile 2005 e riferimenti ivi menzionati; cfr. STCA 35.2017.62 del 2 ottobre 2017, consid. 2.9). In conclusione, visto quanto sopra, la decisione su opposizione contestata merita conferma.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