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35.2023.103 vom 27. November 2023</w:t>
      </w:r>
    </w:p>
    <w:p>
      <w:r>
        <w:t>TI Tribunale d'appello, 2023-11-27, IT</w:t>
      </w:r>
    </w:p>
    <w:p>
      <w:r>
        <w:rPr>
          <w:b/>
        </w:rPr>
        <w:t xml:space="preserve">Quelle: </w:t>
      </w:r>
      <w:r>
        <w:t>https://mcp.opencaselaw.ch/entscheid/ti_gerichte_35.2023.103</w:t>
      </w:r>
    </w:p>
    <w:p>
      <w:r>
        <w:t>FR: TI_GERICHTE 35.2023.103 du 27 novembre 2023</w:t>
      </w:r>
    </w:p>
    <w:p>
      <w:r>
        <w:t>IT: TI_GERICHTE 35.2023.103 del 27 novembre 2023</w:t>
      </w:r>
    </w:p>
    <w:p>
      <w:pPr>
        <w:pStyle w:val="Heading2"/>
      </w:pPr>
      <w:r>
        <w:t>Regeste</w:t>
      </w:r>
    </w:p>
    <w:p>
      <w:r>
        <w:t>Ammessa ritardata giustizia in un caso in cui l'amministrazione è rimasta inattiva per quasi 2 anni (emanazione di una decisione su opposizione)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In questa sede, il TCA è chiamato soltanto a stabilire se l'amministrazione si sia o meno resa colpevole di una denegata/ritardata giustizia e non a statuire nel merito della lite (cfr. SVR 2001 Nr. UV 38, p. 109 s.). 2.3.  Giusta l'art. 56 cpv. 2 LPGA, il ricorso può essere interposto anche se l'assicuratore, nonostante la domanda dell'assicurato, non emana una decisione o una decisione su opposizione. Secondo la giurisprudenza,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(DTF 130 I 312 consid. 5.2 e i riferimenti ivi menzionati). Il principio secondo cui la procedura davanti al Tribunale cantonale delle assicurazioni deve essere semplice e spedita (cfr. art. 61 lett. a LPGA), è espressione di un principio generale del diritto delle assicurazioni sociali e vale, perciò, anche nell'ambito della procedura amministrativa (DTF 110 V 54 consid. 4b; cfr., pure, U. Kieser, Das Verwaltungsverfahren in der Sozialversicherung, Zurigo 1999, p. 243 n. 509 ).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L. Meyer, Das Rechtsverzögerungsverbot nach Art. 4 BV, Tesi Berna 1985, p. 78 e riferimenti alla giurisprudenza federale). 2.4.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 (RAMI succitata) In una sentenza 8C_149/2019 del 7 agosto 2019 consid. 3.2.1, il TF ha negato l’esistenza di un diniego di giustizia in un caso in cui tra l’opposizione interposta dall’assicurato (28 luglio 2017) e la presentazione del ricorso per denegata giustizia (6 dicembre 2018), erano trascorsi poco più di 16 mesi. In questo senso, la Corte federale ha constatato che il 20 novembre 2017 l’assicuratore aveva chiesto l’incarto AI in visione, l’8 febbraio 2018 domandato informazioni in merito a una valutazione reumatologica eseguita nell’ottobre 2017, il 16 novembre 2018 interpellato il proprio medico di fiducia e nel dicembre 2018 tentato di ottenere dei referti da parte di un ospedale. Inoltre, nell’ottobre 2017, l’assicurato aveva cambiato di patrocinatore, il quale, sino a settembre 2018, aveva prodotto nuova documentazione medica che l’assicuratore aveva sottoposto al proprio medico consulente. L’Alta Corte ha per contro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2.5.  Nel caso di specie, il fatto che l’amministrazione, dopo aver ricevuto l’atto di opposizione e la relativa motivazione (in ottobre, rispettivamente in novembre 2021), sia praticamente rimasta inattiva sino a ottobre 2023 - dunque per poco meno di due anni -, momento in cui è stata chiesta documentazione riguardante l’assicurato al suo medico curante specialista e al suo assicuratore contro le malattie, è senz’altro costitutivo di una denegata/ritardata giustizia, tenuto conto per di più che l’oggetto litigioso è circoscritto alla sola eziologia dei disturbi alla spalla destra. Da un attento esame dell’incarto emerge chiaramente che i “tempi morti” che hanno segnato l’istruttoria, sono imputabili esclusivamente all’inerzia dei funzionari incaricati. Del resto, non può neppure essere ignorato che è soltanto a seguito della minaccia di un ricorso per denegata giustizia, che l’assicuratore resistente ha riattivato l’istruttoria. Stante quanto precede, accertata l’esistenza di una denegata/ritardata giustizia, alla CO 1 è fatto ordine di portare a termine celermente l’istruttoria e, quindi, di emanare la decisione su opposizione richiesta dall’assicurato. 2.6.  Vincente in causa, l’assicurato, rappresentato da un avvocato, ha diritto a un’indennità per ripetibili (cfr. art. 61 lett. g LPGA e art. 30 cpv. 1 Lptca).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sulla questione di sapere se l’assicuratore LAINF convenuto si è reso colpevole di una denegata/ritardata giustizia nei confronti dell’assicurato.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 Kieser, Kommentar zum Bundesgesetz über den Allgemeinen Teil des Sozialversicherungsrechts ATSG, 2020, n. 209 ad art. 61 LPGA).”. Nel Cantone Ticino, come rilevato dall’Alta Corte nella succitata STF 8C_265/2021, “vige tuttora il principio della gratuità generalizzata (art. 29 cpv. 1 Lptca/TI)” . Stante ciò,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