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35.2022.95 vom 10. Mai 2023</w:t>
      </w:r>
    </w:p>
    <w:p>
      <w:r>
        <w:t>TI Tribunale d'appello, 2023-05-10, IT</w:t>
      </w:r>
    </w:p>
    <w:p>
      <w:r>
        <w:rPr>
          <w:b/>
        </w:rPr>
        <w:t xml:space="preserve">Quelle: </w:t>
      </w:r>
      <w:r>
        <w:t>https://mcp.opencaselaw.ch/entscheid/ti_gerichte_35.2022.95</w:t>
      </w:r>
    </w:p>
    <w:p>
      <w:r>
        <w:t>FR: TI_GERICHTE 35.2022.95 du 10 mai 2023</w:t>
      </w:r>
    </w:p>
    <w:p>
      <w:r>
        <w:t>IT: TI_GERICHTE 35.2022.95 del 10 maggio 2023</w:t>
      </w:r>
    </w:p>
    <w:p>
      <w:pPr>
        <w:pStyle w:val="Heading2"/>
      </w:pPr>
      <w:r>
        <w:t>Erwägungen</w:t>
      </w:r>
    </w:p>
    <w:p>
      <w:r>
        <w:rPr>
          <w:b/>
        </w:rPr>
        <w:t>E. 9</w:t>
      </w:r>
    </w:p>
    <w:p>
      <w:r>
        <w:t>gennaio 2003 consid. 5.2, concernente un’assicurata scivolata su fondo ghiacciato che si era procurata delle contusioni all’anca destra). Stante ciò, questa Corte concorda con l’amministrazione che, a titolo principale, ha negato a priori l’adeguatezza del nesso di causalità tra le turbe psichiche di cui è portatrice l'insorgente e l’evento assicurato (cfr., in questo senso, la STF 8C_406/2022 succitata consid. 4.3 e 4.4: “In queste condizioni, l’infortunio va situato nella categoria di quelli insignificanti o leggeri, sicché non occorre approfondire oltre le relative conseguenze citate dal ricorrente .” – il corsivo è del redattore). La decisione impugnata merita dunque conferma nella misura in cui l’istituto assicuratore ha valutato l’entità dell’invalidità e della menomazione dell’integrità, facendo astrazione dalla problematica psichica. 2.10. Entità del grado d’invalidità? 2.10.1.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2.10.2.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2.10.3.  In concreto, con la decisione su opposizione impugnata, riferendosi alle risultanze della perizia amministrativa e tenendo conto unicamente dei postumi infortunistici di natura somatica, l’CO 1 ha ritenuto che l’insorgente sarebbe in grado di mettere a frutto la sua restante capacità in attività sostitutive adeguate nella misura del 65%. Da parte sua, il rappresentante dell’assicurata non contesta la valutazione peritale dell’esigibilità lavorativa in quanto tale ma fa valere che, a fronte degli impedimenti dipendenti dal danno alla salute infortunistico nella sua globalità e della sua limitata formazione professionale, sarebbe illusorio pensare che la ricorrente possa ancora reperire un posto di lavoro confacente, e ciò anche su un mercato del lavoro supposto equilibrato (cfr. supra , consid. 1.3.). Dalla perizia elaborata dall’Istituto __________ risulta che, considerando esclusivamente le sequele somatiche dell’infortunio assicurato, facendo dunque astrazione dalla componente psichiatrica, l’insorgente potrebbe esercitare un’attività alternativa adeguata nella misura del 65% (“ Somatisch besteht eine unfallbedingte Arbeitsunfähigkeit von 35% ”). Dal profilo neurologico, il dott. __________ ha rilevato che gli impedimenti in un’attività adeguata derivano dalla ridotta caricabilità e dalla problematica algica interessanti la gamba sinistra. Sul piano neurologico, la riduzione del rendimento è da imputare ai dolori neuropatici, da un lato in ragione di una ridotta capacità di concentrazione in presenza dei dolori, dall’altro a causa di un’accresciuta necessità di pause e, in parte, anche di processi lavorativi qualitativamente ridotti. A suo avviso, entrerebbero ancora in linea di conto delle attività che permettano all’assicurata di non caricare la gamba sinistra, dunque da svolgere in posizione prevalentemente seduta, senza pressioni, senza pericoli e senza particolari responsabilità. Ella non sarebbe inoltre in grado di trasportare pesi, né di superare dislivelli, dunque neppure di fare le scale. Una simile attività potrebbe venir esercitata nella misura dell’80% (cfr. doc. M61, p. 20 e p. 22). Dal punto di vista ortopedico, il dott. __________ ha dichiarato che l’insorgente potrebbe svolgere delle attività fisicamente leggere, in posizione prevalentemente seduta, che le consentano da una parte di tenere elevata la gamba sinistra e dall’altra di alzarsi e di fare qualche passo al bisogno. Siccome l’assicurata non può coprire la gamba sinistra con abiti, dovrebbe trattarsi di un’attività da esercitare in locali temperati. Vi è inoltre da considerare che la ricorrente può muoversi soltanto con l’aiuto di due bastoni, cosicché non le sarebbe possibile trasportare velocemente oggetti da un luogo all’altro. Sempre secondo il perito ortopedico, una simile attività potrebbe venir svolta in ragione di 2 x 3.5 ore/giorno (= capacità lavorativa dell’84%). Siccome, oltre a una pausa pranzo prolungata, devono essere introdotte delle pause supplementari di, complessivamente, 1 ora/giorno, la capacità lavorativa residua ammonta al 70%. Egli ha infine negato che vi sia l’indicazione per una riformazione professionale in ambito protetto (doc. M61, p. 37). Nel quadro della discussione di consenso, la capacità lavorativa residua dell’assicurata, tenuto conto del danno alla salute di natura neurologica e ortopedica, è stata finalmente fissata in un 65% . In quell’ambito, è stato inoltre precisato che la ricorrente è in grado di effettuare il tragitto casa-lavoro guidando un’autovettura, se dotata di cambio automatico (cfr. doc. M61, p. 9; a quest’ultimo riguardo, il perito ortopedico ha però sottolineato che la durata massima del tragitto è di 30 minuti, ragione per la quale ha ritenuto auspicabile un’attività in homeoffice [doc. M61, p. 37]). In sostanza, secondo gli specialisti sangallesi, sarebbe ancora esigibile un’attività lavorativa leggera (da seduta l’assicurata può spostare pesi fino a 5 kg) che risparmi l’arto inferiore sinistro, quindi in posizione prevalentemente seduta (con però la facoltà di tenere sollevata la gamba sinistra) con la possibilità di cambiare posizione a seconda dei bisogni, da esercitare in ambienti temperati, senza stress, senza l’esposizione a pericoli, senza particolari responsabilità e senza la necessità di superare dislivelli (ad esempio le scale). La pausa pranzo dovrebbe essere più lunga del consueto e nel corso della giornata andrebbero introdotte delle pause supplementari (complessivamente di un’ora). Chiamata a stabilire se la capacità lavorativa residua attestata dagli esperti amministrativi può essere sfruttata economicamente dall’insorgente, ciò che il suo patrocinatore nega, questa Corte ricorda che per valutare il grado dell’invalidità,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(art. 16 LPGA; metodo ordinario del raffronto dei redditi). La nozione di mercato del lavoro equilibrato è una nozione teorica e astratta che serve da criterio per distinguere i casi che ricadono sotto l’assicurazione contro la disoccupazione e quelli che rilevano invece dall’assicurazione per l’invalidità (o dall’assicurazione contro gli infortuni). La nozione in questione implica da una parte un certo equilibrio tra offerta e domanda di manodopera e dall’altra un mercato del lavoro strutturato in modo tale da offrire un ventaglio diversificato di posti di lavoro, tanto dal profilo delle esigenze professionali e intellettuali quanto da quello delle sollecitazioni fisiche (DTF 134 V 64 consid. 4.2.1 con riferimenti; 110 V 273 consid. 4b; STF 8C_131/2019 del 26 giugno 2019 consid. 4.2.2). La giurisprudenza ha peraltro ammesso che le possibilità di lavoro su un mercato del lavoro equilibrato sono sufficientemente concretizzate nella misura in cui entrano in considerazione, come esempi di attività esigibili, dei lavori semplici di sorveglianza o di controllo, l’utilizzo e la sorveglianza di macchinari (semi-) automatici o di unità di produzione, come pure l’attività di sorvegliante di museo o di parking (cfr. STF 8C_134/2020 del 29 aprile 2020 consid. 4.5; 8C_695/2015 del 19 novembre 2015 consid. 4.2; 8C_25/2012 del 3 luglio 2012 consid. 4.2; M. Moser-Szeless, in: Commentaire romand LPGA, 2018, n. 23 ad art. 7 LPGA). Non si può parlare di un’opportunità di lavoro se l’attività esigibile può essere svolta in una forma talmente ristretta che il mercato del lavoro equilibrato praticamente non la conosce oppure se il suo esercizio implicherebbe delle concessioni irrealistiche da parte di un datore di lavoro medio, di modo che il reperimento di un posto di lavoro corrispondente appare escluso a priori (cfr. DTF 148 V 174 consid. 9.1). Il carattere irrealistico delle possibilità di lavoro deve risultare dal danno alla salute e non da fattori estranei all’invalidità, ad esempio da fattori psicosociali o socioculturali (cfr. STF 8C_99/2019 dell’8 ottobre 2019 consid. 5.4; 8C_303/2018 del 26 novembre 2018 consid. 5.1). La possibilità per una persona assicurata di sfruttare la propria capacità lavorativa residua sul mercato del lavoro equilibrato, dipende dalle circostanze concrete del caso concreto. In base alla giurisprudenza, sono rilevanti il tipo e la natura del danno alla salute e delle sue conseguenze, il prevedibile onere d’adattamento e di formazione e, in relazione a ciò, anche la struttura della personalità, le esistenti predisposizioni e competenze, la formazione, la carriera professionale o la possibilità di utilizzare le esperienze professionali acquisite nel precedente ambito di attività (cfr. STF 8C_170/2021 del 23 settembre 2021 consid. 5.1.1 e riferimenti ivi menzionati). Nel caso di specie, dalle carte processuali emerge che, terminate le scuole dell’obbligo in Italia (elementari e scuole medie), l’assicurata ha conseguito un diploma in ambito commerciale (contabilità e informatica) presso un istituto scolastico privato. Durante la formazione, terminata all’incirca nel 2007, ella ha svolto, sempre nel suo paese di origine, diverse professioni, quali la cameriera, la parrucchiera e la babysitter (animatrice in alberghi). La ricorrente ha esercitato l’attività di cameriera anche in seguito, sino al 2014. Nel mese di novembre 2014 si è trasferita in Svizzera, dove ha trovato lavoro nel settore della ristorazione, da ultimo presso il ristorante __________ in qualità di allrounder (cfr. doc. M16, p. 14, 27 e 44). Da notare che, in occasione della sua audizione del 13 ottobre 2016, l’insorgente aveva affermato di aver contattato un Consolato per un posto di traduttrice ma di aver ricevuto un rifiuto a causa della mancanza di formazione. Per questa ragione, ella aveva iniziato a frequentare dei corsi di tedesco che è però stata costretta a interrompere per motivi di salute (cfr. doc. A33). Tutto ben considerato, tenuto conto in particolare degli impedimenti legati al danno alla salute, della ancora giovane età dell’assicurata (nata nel 1984; cfr., su questo aspetto, la STF 8C_434/2021 del 10 agosto 2021 consid. 5.3, riguardante un assicurato nato nel 1985), come pure della sua formazione e delle variegate esperienze lavorative vissute in passato che denotano intraprendenza, flessibilità e spirito di adattamento, il TCA ritiene che il mercato del lavoro equilibrato offra ancora alla ricorrente sufficienti opportunità d’impiego in cui possa sfruttare la residua capacità lavorativa che è stata medicalmente attestata. In questo contesto, occorre considerare che il mercato del lavoro equilibrato comprende pure posti di lavoro detti di nicchia, ovvero delle offerte di lavoro riguardo alle quali i disabili possono contare su concessioni sociali da parte del datore di lavoro (cfr. STF 8C_783/2020 del 17 febbraio 2021 consid. 7.3.2). Si pensi ad attività di back office quale supporto per compiti semplici , ad attività di vendita ( ad esempio quale addetta alla vendita di carburanti e altri prodotti in stazioni di servizio servisol, con compiti d’incasso) oppure a semplici attività di sorveglianza, verifica e controllo, da svolgere in posizione prevalentemente seduta. Da notare a quest’ultimo proposito che, secondo la giurisprudenza, le esigenze riguardo alla descrizione delle attività ancora esigibili non sono elevate, la dimostrazione di un effettivo posto di lavoro non essendo necessaria (cfr. STF 8C_682/2021 del 13 aprile 2022 consid. 8.2.2). Inoltre, la giurisprudenza ha costantemente riconosciuto che sul mercato del lavoro equilibrato sono disponibili attività di sorveglianza, verifica e controllo (cfr. STF 8C_300/2022 del 2 marzo 2023 consid. 6.2 e riferimenti ivi citati). Del resto, la giurisprudenza ha più volte ammesso che attività fisicamente leggere, svolte in posizione prevalentemente seduta con possibilità di alternare la posizione a discrezione dell’interessato e che non implicano il trasporto di oggetti pesanti, sono senz’altro presenti sul mercato del lavoro (cfr. STF 8C_806/2012 del 12 febbraio 2013 consid. 5.2.1 e riferimenti ivi menzionati; 8C_219/2019 del 30 settembre 2019 consid. 5.2). Inoltre, sempre secondo il TF, il mercato del lavoro equilibrato offre pure delle occupazioni in cui il lavoratore può inserire delle pause in caso di comprovata necessità (cfr. STF 8C_192/2022 del 7 luglio 2022 consid. 7.2.4 e riferimento ivi citato). Infine, in una sentenza 9C_761/2012 del 7 giugno 2013 consid. 5.2, la Corte federale ha ritenuto il fatto di doversi spostare con l’aiuto di due stampelle, compatibile con un’attività da svolgere principalmente in posizione seduta. Ad esempio, in una sentenza 9C_452/2022 del 10 gennaio 2023 consid. 5.4, il TF ha ammesso l’esistenza di un mercato del lavoro ancora sufficientemente ampio, trattandosi di un assicurato, cinquantenne, di formazione falegname, che a causa del danno alla salute non era più in grado di eseguire lavori in autonomia. Era però stata ammessa una residua capacità lavorativa del 50% in lavori chiaramente predefiniti, strutturati in maniera semplice, senza pressioni e senza responsabilità, in un contesto di stabilità per quanto concerneva tanto il gruppo di lavoro che le persone di riferimento. La Corte federale è pervenuta alla medesima conclusione in una pronunzia 8C_117/2018 del 31 agosto 2018, riguardante un’assicurata, sessantaduenne, completamente inabile nella sua precedente attività (donna delle pulizie in hotel, cliniche e nella ristorazione), senza alcuna formazione professionale, e abile all’80% in attività alternative confacenti. L’Alta Corte in quella fattispecie non ha ritenuto decisiva la circostanza che l’interessata possedeva una limitata capacità di concentrazione, aveva una andatura più lenta del normale e necessitava di pause, come pure che vi era una limitazione soggettiva delle prestazioni (cfr. consid. 3.3.2). La sfruttabilità della capacità lavorativa residua è per contro stata negata in una sentenza 9C_403/2022 del 15 marzo 2023 consid. 5.5. In quel caso, si trattava di un’assicurata, nata nel 1973, priva di formazione e che non aveva mai esercitato un’attività lucrativa, che all’età di quattro anni aveva accusato un’emorragia intracranica con sviluppo di un’epilessia focale. L’elevata frequenza degli attacchi epilettici implicava un’insicurezza di pianificazione da parte di un datore di lavoro. Dalla documentazione medica risultava in effetti che gli episodi accadevano più volte al mese, non soltanto di notte ma pure la mattina presto oppure durante il giorno. Inoltre, l’assicurata presentava una leggera riduzione dell’intelligenza, deficit a livello delle capacità funzionali e della flessibilità, come pure delle limitate conoscenze linguistiche. Stante tutto quanto precede, non può dunque essere seguita l’obiezione ricorsuale secondo la quale, pur prendendo in considerazione un mercato del lavoro equilibrato, le possibilità di trovare un impiego confacente non sarebbero sufficienti affinché l’assicurata possa sfruttare la sua restante capacità lavorativa sul piano economico. 2.10.4.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2018 , essendo stato ritenuto lo stato di salute stabilizzato a partire dal 1° agosto 2018 ( aspetto non contestato ). 2.10.5.  Per quanto attiene al reddito da valido , constatato che al momento dell’infortunio l’insorgente percepiva esattamente il salario orario base previsto dal contratto collettivo nazionale di lavoro per il settore alberghiero e della ristorazione (CCNL), ovvero fr. 17.47/ora (cfr. doc. A6 e A336), l’assicuratore infortuni resistente ha ritenuto per il 2018 un importo di fr. 44'666.70 , fissato in base al salario minimo stabilito dal CCNL in vigore a partire dal 1° aprile 2018 (fr. 17.62/ora - doc. A337) (cfr. doc. A347, p. 10 s.). Questo dato – come tale non contestato dalla ricorrente (cfr. doc. I, p. 17: “Ansonsten anerkennt die Beschwerdeführerin die Festlegung des Valideneinkommens der Beschwerdegegnerin im angefochtenen Entscheid im Betrage von CHF 44'667 (Erw. 4.4.2).”) -, può essere fatto proprio dal TCA, precisato che, qualora non fosse rimasta vittima del noto infortunio, l’assicurata avrebbe, con buona verosimiglianza, continuato a percepire presso il suo ex datore di lavoro un salario corrispondente ai minimi previsti dal CCNL di categoria. 2.10.6.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2.10.7.  Giova infine segnalare che nella sentenza 8C_256/2021 del 9 marzo 2022 relativa all’assicurazione per l’invalidità, pubblicata in DTF 148 V 174,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2.10.8.  In concreto, l’istituto resistente ha quantificato in fr. 30'211.37 il reddito da invalido, facendo capo alla RSS 2018, tabella TA1_tirage_skill_level, ramo economico totale, livello di competenze 4 (recte: 1 ), donne (fr. 54'681.21), applicando una deduzione del 35% in considerazione della soltanto parziale capacità lavorativa residua e, poi, del 15% a titolo di riduzione sociale (cfr. doc. A347, p. 11 s.). Il dato considerato dall’amministrazione viene contestato dal rappresentante della ricorrente. In primo luogo, a titolo di parallelismo dei redditi, criticando la relativa giurisprudenza federale nella misura in cui ha introdotto una soglia di rilevanza del 5%, l’avv. RA 1 pretende che il reddito da invalido da cui partire per operare il raffronto andrebbe ridotto a livello di quello da valido, dunque a fr. 44'667 (cfr. doc. I, p. 16 s.). In secondo luogo, il patrocinatore fa valere che il reddito statistico da invalido andrebbe rapportato a un grado di capacità lavorativa residua del 50% (tenuto conto della problematica psichica e del peggioramento insorto nella primavera 2020), in subordine del 56% (cfr. doc. I, p. 20). In terzo luogo, egli sostiene che il valore in questione andrebbe ulteriormente decurtato del 25% a titolo di riduzione sociale (cfr. doc. I, p. 18 ss.). Per quanto concerne il primo aspetto , il TCA osserva che il reddito da valido ritenuto dall’amministrazione (fr. 44'667) corrisponde al salario minimo previsto per il 2018 dal CCNL di categoria (cfr. supra , consid. 2.10.5.), ragione per la quale, secondo la giurisprudenza federale attualmente in vigore, non vi è spazio per una riduzione a titolo di parallelismo dei redditi (cfr. STF 8C_280/2022 del 1° marzo 2023 consid. 7.1.2; 8C_270/2022 del</w:t>
      </w:r>
    </w:p>
    <w:p>
      <w:r>
        <w:rPr>
          <w:b/>
        </w:rPr>
        <w:t>E. 12</w:t>
      </w:r>
    </w:p>
    <w:p>
      <w:r>
        <w:t>ottobre 2022 consid. 4.4.1; 8C_541/2021 del 18 maggio 2022 consid. 4.2 e 4.2.2, e i rispettivi riferimenti citati; sul tema, in ambito AI, l’art. 26 cpv. 2 OAI, in vigore dal 1° gennaio 2022, recita che se il reddito lavorativo effettivamente conseguito è inferiore di almeno il 5 per cento al valore centrale usuale del settore secondo la RSS di cui all’articolo 25 capoverso 3, il reddito senza invalidità corrisponde al 95 per cento di questo valore centrale). Del resto, a prescindere da quanto precede, il TCA ricorda che per costante giurisprudenza federale il parallelismo dei redditi può riguardare soltanto la parte che eccede la soglia determinante del 5% (cfr. consid. 7.1.2). A proposito del secondo aspetto sollevato con l’impugnativa, questo Tribunale ha già stabilito in precedenza che nella valutazione della capacità lavorativa residua, occorre fare astrazione dalla problematica psichica e, dunque, dal peggioramento dei dolori manifestatosi a partire dalla primavera 2020 (cfr. supra , consid. 2.9.). Ora, in base alla perizia amministrativa, tenuto conto soltanto dei disturbi somatici, l’assicurata presenta una capacità lavorativa del 65% in attività sostitutive adeguate (cfr. supra , consid. 2.10.3.) ( aspetto di per sé non contestato ). Stante ciò, il reddito statistico da invalido deve dunque essere ridotto del 35% (100% - 65%). Per quanto riguarda l’ ultimo aspetto oggetto di contestazione, va rilevato che l’assicuratore convenuto ha applicato una deduzione sociale del 15% per tenere conto delle limitazioni funzionali dipendenti dal danno alla salute infortunistico evidenziate dagli esperti amministrativi (cfr. doc. A347, p. 11 s.). Dal canto suo, come detto, il rappresentante della ricorrente pretende invece che la riduzione sociale da applicare ammonti al 25% (cfr. doc. I).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A proposito innanzitutto della decurtazione legata alla constatazione che le persone con disabilità percepiscono generalmente dei redditi inferiori rispetto a quelli realizzati dalle persone senza disabilità e, quindi, a una pretesa scarsa plausibilità dei redditi stabiliti in applicazione della RSS, questo Tribunale rileva che, nella DTF 148 V 174 (in seguito più volte confermata, ad esempio ancora con la STF 8C_628/2021 del 23 gennaio 2023 consid. 5.1), applicabile anche in materia di assicurazione contro gli infortuni (cfr. STF 8C_156/2022 del 29 giugno 2022 consid. 6.1; 8C_617/2021 del 28 giugno 2022 consid. 4.2.2; 8C_121/2022 del 27 giugno 2022 consid. 5.4.2; 8C_541/2021 del 18 maggio 2022 consid. 5.2.1), la Corte federale ha stabilito, con particolare riferimento alla perizia elaborata dall’Ufficio di studi di politica del lavoro e di politica sociale BASS l’8 gennaio 2021, che non esiste alcun motivo oggettivo di modificare la giurisprudenza secondo cui il punto di partenza per il calcolo del reddito da invalido sulla base dei dati statistici è di principio rappresentato dal valore centrale o mediano della RSS né, pertanto, di applicare una riduzione generalizzata sul valore centrale. Il TCA non può fare altro che attenersi a questa giurisprudenza federale. In questo contesto, è comunque utile segnalare che, dando seguito a una mozione parlamentare (Mozione 22.3377 “ Utilizzare salari statistici corrispondenti all’invalidità nel calcolo del grado d’invalidità ”), il Consiglio federale ha posto in consultazione, dal 5 aprile al 5 giugno 2023, una modifica dell’Ordinanza sull’assicurazione per l’invalidità (OAI) volta ad applicare una riduzione forfettaria del 10% sul reddito da invalido stabilito in base ai valori mediani della RSS sinora utilizzati. Ciò consentirebbe di garantire l’uguaglianza di trattamento di tutti gli assicurati, che si tratti di uomini o donne e che presentino una disabilità fisica, psichica oppure cognitiva (cfr. Comunicato stampa del Consiglio federale del 5 aprile 2023). L’articolo posto in consultazione – art. 26bis cpv. 3 OAI - ha il seguente tenore: " Al valore determinato in base a valori statistici secondo il capoverso 2 è applicata una deduzione del dieci per cento. Se a causa dell’invalidità l’assicurato può lavorare soltanto con una capacità funzionale secondo l’articolo 49 capoverso 1bis pari o inferiore al 50 per cento, al valore determinato in base a valori statistici è applicata una deduzione supplementare del dieci per cento.” Secondo questa Corte, neppure la prolungata assenza dal mercato del lavoro dell’insorgente – in concreto, l’assenza dal mercato del lavoro è durata all’incirca due anni e mezzo, ossia dal gennaio 2016 all’agosto 2018 (momento in cui è nato il diritto alla rendita) - giustifica una decurtazione a tale titolo del reddito statistico da invalido. Il TF si è del resto pronunciato proprio in questo senso in una sentenza 8C_321/2022 del 10 marzo 2023 consid. 6.3 (“ Quant au long éloignement du marché du travail qu’évoquent implicitement les juges cantonaux, il ne s’agit pas là d’un facteur d’abattement au sens de la jurisprudence (cf. arrêts 9C_55/2018 du 30 mai 2019 consid. 4.3; 9C_273/2019 du 18 juillet 2019 consid. 6.3; ATF 126 V 75 consid. 5b/aa et bb).”) oppure in una pronunzia 9C_306/2021 del 10 novembre 2022 consid. 7.3.4.4, in cui l’assenza era durata meno di due anni e tre mesi (si veda pure la STF 9C_339/2021 del 27 luglio 2022 consid. 4.5.4.4, pubblicata in: SVR 1/2023 IV n. 3 p. 9 ss.; per un caso in cui è stata invece eccezionalmente ammessa una riduzione in ragione della prolungata assenza dal mercato del lavoro [assenza superiore ai vent’anni], cfr. STF 9C_14/2022 del 21 luglio 2022 consid. 5.5, pubblicata in: SVR 1/2023 IV n. 2 p. 6 ss.). Inoltre, nella STF 8C_482/2016 del 15 settembre 2016 consid. 5.4.3, pubblicata in SVR 2017 IV Nr. 17, l’Alta Corte ha precisato che in caso d’applicazione del livello di competenze 1 della RSS sono già considerate le carenti conoscenze linguistiche (in questo senso, si veda pure la 8C_35/2019 del 2 luglio 2019 consid. 6.3). Lo stesso vale a proposito dell’ 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Infine, una decurtazione non è stata ammessa nemmeno per assicurati titolari di un permesso di dimora (cat. B) (cfr. STF 8C_314/2019 del 10 settembre 2019 consid. 6.2: “ Was die Aufenthaltsbewilligung B betrifft, ist nicht ersichtlich, inwiefern diese lohnmindernd zu berücksichtigen wäre, vermag sie doch auch im Rahmen der Ermittlung des Invalideneinkommens gestützt auf die LSE mangels tieferer Löhne keinen Abzug zu begründen (vgl. dazu LSE Tabelle TA12) .” ; 8C_766/2017+8C_773/2017 del 30 luglio 2018 consid. 8.6: “ … il n'apparaît pas d'emblée que l'âge de l'assuré, son permis B ou encore son manque d'expérience dans une nouvelle profession, soient susceptibles, au regard de la nature des activités encore exigibles, de réduire ses perspectives salariales. ”). Tutto ben considerato, il TCA ritiene che, riducendo del 15% il reddito statistico da invalido in ragione degli impedimenti fisici, l’CO 1 abbia tenuto sufficientemente conto delle peculiarità personali dell’assicurata. Una maggiore deduzione non appare giustificata. Sulla scorta di quanto precede, il reddito statistico di fr. 54'681.21 deve dapprima essere decurtato del 35% (per tenere conto della limitata capacità lavorativa in attività confacenti) e, successivamente, di un ulteriore 15% a titolo di riduzione sociale giusta la DTF 126 V 80. Così facendo, il reddito da invalido è pari a fr. 30'211.36 , così come stabilito dall’assicuratore resistente. Ora, confrontando i fr. 30'211.36 al reddito che la ricorrente avrebbe potuto conseguire senza il danno alla salute, e cioè fr. 44'667, risulta una perdita di guadagno del 32.36%, arrotondata al 32% . La decisione su opposizione, mediante la quale è stata l’assegnata una rendita del 32%, deve quindi essere confermata. 2.11. Entità della menomazione dell’integrità? 2.11.1.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2.11.2.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2.11.3.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2.11.4.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2.11.5.  Nel caso di specie, l’assicuratore LAINF resistente, sentito il parere degli specialisti dell’Istituto __________ (cfr. doc. M61, p. 10), ha assegnato all’assicurata un’IMI del 40% per tener conto della menomazione fisica di cui è portatrice (cfr. doc. A347, p. 14). Da parte sua, il rappresentante non contesta che le componenti somatiche del danno alla salute presentato dall’insorgente, fondano il diritto a un’IMI del 40%. Egli pretende tuttavia che la sua patrocinata abbia diritto a un’indennità aggiuntiva del 20% in ragione del danno psichico (cfr. doc. I, p. 23: “ Abstellend auf Tabelle 19 der Suva (Seite 5, lit. b) ist eine leichte psychische Störung ausgewiesen, welche zu einer Integritätsentschädigung von 20% berechtigt. Zusätzlich zu körperlichen Integritätsentschädigung von 40% resultiert somit ein Gesamtschaden von 60%. Im Falle von Zweifeln wäre hier ein gerichtliches Gutachten aus der Fachdiziplin der Psychiatrie heranzuziehen. ”). Chiamata a pronunciarsi in proposito, questa Corte non può seguire l’avv. RA 1 già per il solo fatto che i disturbi psichici non costituiscono una conseguenza adeguata dell’infortunio accaduto il 27 gennaio 2016 (cfr. supra , consid. 2.9.), di modo che essi non possono fondare un diritto a prestazioni, a prescindere dalla loro natura. In queste condizioni, ci si può esimere dall’approfondire oltre la questione riguardante il carattere duraturo, o meno, della menomazione psichica. Stante ciò, la decisione su opposizione impugnata deve essere confermata anche nella misura in cui all’assicurata è stata assegnata un’IMI del 40%, senza che si riveli necessario procedere a ulteriori passi istruttori (in particolare, all’approfondimento peritale auspicato dal patrocinatore). 2.12.  Deve ancora essere esaminato se l'assicurata può essere posta al beneficio dell'assistenza giudiziaria e del gratuito patrocinio, così come da lei richiesto (cfr. I, p. 24). Secondo l’art. 61 lett. f LPGA, deve essere garantito il diritto di farsi patrocinare. Se le circostanze lo giustificano, il ricorrente può avere diritto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dalla documentazione agli atti risulta che l’insorgente vive grazie all'aiuto dell'assistenza pubblica (cfr. la decisione del 13 ottobre 2022 rilasciata dall'Ufficio del sostegno sociale e dell'inserimento, prodotta con l’impugnativa [doc. A 2]). In tali circostanze, l'indigenza deve essere ammessa. Ritenuto, inoltre, che anche le altre condizioni poste da legge e giurisprudenza appaiono adempiute, l'istanza tendente alla concessione dell'assistenza giudiziaria va accolta. Stante ciò, i costi di patrocinio relativi alla presente procedura ricorsuale saranno assunti dallo Stato, dopo attenta verifica della nota d’onorario e spese che l’avv. RA 1 vorrà presentare al Tribunale. 2.13.  A proposito dei costi generati dalla traduzione in lingua italiana dell’allegato ricorsuale, ammontanti a fr. 4'903.35 (cfr. doc. V + le allegate fatture dell’Agenzia __________ di __________), è escluso che essi possano essere posti a carico dell’assicuratore convenuto, già per il solo fatto che quest’ultimo è risultato vincente in causa (ciò che lo esenta dal pagamento di ripetibili – cfr. art. 61 lett. g LPGA). D’altro canto, riguardo alla richiesta volta a che le spese in questione vengano rimborsate nell’ambito del gratuito patrocinio, essa verrà se del caso esaminata in occasione della tassazione della nota professionale. In proposito, il TCA segnala però già sin d’ora quanto segue. Conformemente al principio di territorialità (art. 70 cpv. 2 Cost.), i Cantoni possono imporre la loro lingua ufficiale quale lingua della procedura giudiziaria e imporre alle parti la traduzione degli atti di procedura redatti in un’altra lingua, seppur in una delle lingue ufficiali della Confederazione (cfr. Commentaire romand LPGA – J. Métral, art. 61 LPGA n. 37; STFA I 438/05 del 23 settembre 2005 ). L’art. 3 Lptca prevede che l’atto di ricorso debba essere redatto in lingua italiana . Stante ciò, il TCA era dunque legittimato a chiedere la traduzione in italiano dell’atto di ricorso datato 15 dicembre 2022, redatto in lingua tedesca. Da notare che, da questo punto di vista, all’assicurata – cittadina italiana – non sarebbe giovato appellarsi all’Accordo sulla libera circolazione delle persone (ALC) - l’art. 76 par. 7 Regolamento (CE) n. 883/2004, applicabile su rinvio degli articoli 8 ALC e 1 dell’Allegato II all’ALC, recita che le autorità, le istituzioni e gli organi giurisdizionali di uno Stato membro non possono respingere le richieste o altri documenti loro inviati per il solo fatto di essere redatti in una lingua ufficiale di un altro Stato membro, riconosciuta come lingua ufficiale delle istituzioni della Comunità, ed ha lo scopo di garantire l’applicazione effettiva dei rimedi di diritto consentendo ai cittadini di una delle parti di adire un’autorità dell’altra parte nella lingua del loro paese di origine, senza dover sopportare i costi di traduzione o rischiare una non entrata in materia (cfr. Commentaire romand LPGA – J. Métral, art. 61 LPGA n. 38) -, già per il solo fatto che la lingua madre di RI 1 è l’ italiano (e non il tedesco) (sul tema, si veda la STF 8C_248/2022 del 30 agosto 2022). Inoltre, riguardo all’affermazione secondo la quale “in considerazione del breve termine di ricorso di soli 30 giorni, non era ragionevolmente presumibile che la ricorrente potesse individuare e incaricare una nuova rappresentanza legale nel Canton Ticino. In questo breve arco temporale, probabilmente essa non avrebbe nemmeno trovato alcun rappresentante legale in grado di leggere il corposo dossier degli atti e redigere l’atto di ricorso entro i termini previsti.” (doc. V, p. 2), questa Corte constata che dalla banca dati MOVPOP – Movimento della popolazione, gestita dall’Ufficio cantonale dello stato civile, risulta che l’insorgente ha trasferito il proprio domicilio da __________ in Ticino già nel corso del mese di febbraio 2022 , quindi ben 10 mesi prima dell’inoltro del ricorso (15 dicembre 2022). Nella misura in cui il rappresentante della ricorrente fa valere che un avvocato incaricato ex novo sarebbe stato confrontato a un “ considerevole onere aggiuntivo ”, il TCA ricorda che agli atti figurava già l’atto di opposizione - diffusamente motivato - interposto dall’avv. RA 1 contro la decisione formale del 2 dicembre 2021 (cfr. doc. A323) e che quest’ultimo provvedimento è stato sostanzialmente confermato dall’amministrazione, mediante la decisione su opposizione del 15 novembre 2022 (doc. A347). Comunque e in ogni caso, un nuovo rappresentante avrebbe potuto presentare un ricorso cautelativo, sommariamente motivato, e ottenere dal Tribunale l’assegnazione di un congruo termine per rimediare ai vizi di forma (mancanza di conclusioni e motivazione) ai sensi dell’art. 61 lett. b LPGA (sul tema, si veda per esempio la STF 8C_245/2022 del 7 settembre 2022).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