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35.2022.29 vom 11. Juli 2022</w:t>
      </w:r>
    </w:p>
    <w:p>
      <w:r>
        <w:t>TI Tribunale d'appello, 2022-07-11, IT</w:t>
      </w:r>
    </w:p>
    <w:p>
      <w:r>
        <w:rPr>
          <w:b/>
        </w:rPr>
        <w:t xml:space="preserve">Quelle: </w:t>
      </w:r>
      <w:r>
        <w:t>https://mcp.opencaselaw.ch/entscheid/ti_gerichte_35.2022.29</w:t>
      </w:r>
    </w:p>
    <w:p>
      <w:r>
        <w:t>FR: TI_GERICHTE 35.2022.29 du 11 juillet 2022</w:t>
      </w:r>
    </w:p>
    <w:p>
      <w:r>
        <w:t>IT: TI_GERICHTE 35.2022.29 del 11 luglio 2022</w:t>
      </w:r>
    </w:p>
    <w:p>
      <w:pPr>
        <w:pStyle w:val="Heading2"/>
      </w:pPr>
      <w:r>
        <w:t>Regeste</w:t>
      </w:r>
    </w:p>
    <w:p>
      <w:r>
        <w:t>Discussa entità della rendita d'invalidità e dell'IMI. Preliminarmente, discusso se l'assicurato poteva dichiarare estinta la propria responsabilità a proposito dei disturbi alla spalla sinistra</w:t>
      </w:r>
    </w:p>
    <w:p>
      <w:pPr>
        <w:pStyle w:val="Heading2"/>
      </w:pPr>
      <w:r>
        <w:t>Erwägungen</w:t>
      </w:r>
    </w:p>
    <w:p>
      <w:r>
        <w:rPr>
          <w:b/>
        </w:rPr>
        <w:t>E. 21</w:t>
      </w:r>
    </w:p>
    <w:p>
      <w:r>
        <w:t>giugno 2019 si applica il diritto anteriore. In concreto, il ricorso è dell’8 marzo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36</w:t>
      </w:r>
    </w:p>
    <w:p>
      <w:r>
        <w:t>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Commentaire de la loi sur l'assurance-accidents, Losanna 1992, p. 121).</w:t>
      </w:r>
    </w:p>
    <w:p>
      <w:r>
        <w:t>2.5.3.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w:t>
      </w:r>
    </w:p>
    <w:p>
      <w:r>
        <w:t>2.5.4.   LCO 1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2.5.5.   Nel caso di specie, lassicuratore LAINF resistente, sentito il parere del proprio medico fiduciario, ha assegnato allassicurato unIMI del25%(cfr. doc. 202,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