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35.2022.1 vom 25. April 2022</w:t>
      </w:r>
    </w:p>
    <w:p>
      <w:r>
        <w:t>TI Tribunale d'appello, 2022-04-25, IT</w:t>
      </w:r>
    </w:p>
    <w:p>
      <w:r>
        <w:rPr>
          <w:b/>
        </w:rPr>
        <w:t xml:space="preserve">Quelle: </w:t>
      </w:r>
      <w:r>
        <w:t>https://mcp.opencaselaw.ch/entscheid/ti_gerichte_35.2022.1</w:t>
      </w:r>
    </w:p>
    <w:p>
      <w:r>
        <w:t>FR: TI_GERICHTE 35.2022.1 du 25 avril 2022</w:t>
      </w:r>
    </w:p>
    <w:p>
      <w:r>
        <w:t>IT: TI_GERICHTE 35.2022.1 del 25 aprile 2022</w:t>
      </w:r>
    </w:p>
    <w:p>
      <w:pPr>
        <w:pStyle w:val="Heading2"/>
      </w:pPr>
      <w:r>
        <w:t>Regeste</w:t>
      </w:r>
    </w:p>
    <w:p>
      <w:r>
        <w:t>Discusso il diritto a una rendita d'invalidità (esigibilità lavorativa e aspetti economici) e l'entità della menomazione dell'integrità</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In concreto, va rilevato che alla base della decisione dell’amministrazione di negare all’assicurato una rendita d’invalidità, vi è l’apprezzamento dell’esigibilità lavorativa enunciata dal medico __________ (cfr. doc. 246, p. 5). In occasione della visita medica di chiusura del 30 agosto 2021, dopo aver diagnosticato uno stato dopo distorsione dell’articolazione di Lisfranc con frattura non dislocata dell’osso cuboide del piede destro e una ridotta velocità di conduzione del nervo surale destro e aver sottolineato come l’esistenza di calli plantari simmetrici costituisca un indizio a favore di una tendenza all’aggravamento e non sia compatibile con la pretesa limitata capacità di deambulare, rispettivamente con una pretesa zoppia presente ormai da tre anni, il dott. __________, spec. FMH in chirurgia ortopedica e traumatologia, ha dichiarato l’insorgente inabile nella sua precedente professione di montatore ma in grado di esercitare, senza limiti di sorta, delle attività in posizione seduta oppure alternata, così come delle attività che implicano l’utilizzo delle estremità superiori, il sollevamento di pesi, e il lavoro a turni o notturno. L’assicurato è invece impedito a camminare per oltre un’ora, a camminare su terreno irregolare, a salire su scale a pioli e ponteggi e a svolgere attività in posizione inginocchiata o accovacciata (cfr. doc. 223, p. 4 s.). Da notare che, dal profilo neurologico, le condizioni di salute del ricorrente sono state valutate dal PD dott. __________, spec. FMH in neurologia, chiamato dall’amministrazione a pronunciarsi in merito all’indicazione a posizionare un neurostimolatore a livello del ganglio di L5 a destra (cfr., a quest’ultimo riguardo, il doc. 188). Con apprezzamento del 10 giugno 2021, lo specialista di fiducia ha in particolare osservato che la diagnosi di sindrome algica mista nocicettiva-neuropatica interessante il piede destro posta a margine del consulto del 24 aprile 2019 presso la Clinica __________ di __________, non può essere confermata, nella misura in cui, successivamente (consulto dell’11 ottobre 2019), sono stati riscontrati dei reperti di normalità a livello del nervo surale destro, del nervo peroneo superficiale e del muscolo adduttore del quinto dito del piede destro. Anche da un punto di vista clinico, l’insorgenza del dolore a dipendenza del carico e l’assenza di forti dolori durante la notte, così come il fatto che non è stata refertata alcuna allodinia, parlano chiaramente a sfavore di un dolore a carattere neuropatico. Una lesione nervosa non è quindi stata oggettivata e l’iniziale sospetta diagnosi di sindrome algica mista, non ha potuto essere confermata. Dal profilo neurologico e da quello della medicina assicurativa si tratta perciò tutt’al più di un quadro algico nocicettivo in presenza di comprovate alterazioni ossee, con tuttavia il sospetto di una componente funzionale in relazione ai dichiarati, neurologicamente non verificabili, forti dolori anche nell’indossare le scarpe. Il presunto coinvolgimento di piccoli rami cutanei costituisce una semplice possibilità, non dimostrata con il grado della verosimiglianza preponderante dal profilo elettrofisiologico. Dal punto di vista neurologico, il quadro dei disturbi denunciati dall’assicurato nella regione del piede destro non può pertanto essere sufficientemente spiegato dal profilo organico. In conclusione, egli ha negato che vi fosse l’indicazione per posizionare un neurostimolatore (cfr. doc. 194). Questo Tribunale constata che, a margine della consultazione dell’11 ottobre 2019, il PD dott. __________, spec. FMH in neurologia presso il Centro per la paraplegia della Clinica __________, ha in effetti dichiarato che delle lesioni nervose focali non erano state refertate né clinicamente né neurofisiologicamente, come pure che l’EMG da lui eseguita in quell’occasione non aveva fornito elementi a favore di un danno assonale motorio (cosicché il disturbo della mobilità delle dita del piede destro era legato al dolore). Egli ha confermato la diagnosi di sindrome algica mista nocicettiva-neuropatica riguardante l’avampiede destro e ha quindi invitato i colleghi della reumatologia a indagare la presenza di una CRPS di tipo I, con la precisazione che, nel caso in cui tale diagnosi sospetta (“ Verdachtsdiagnose ”) non avesse trovato conferma, il caso avrebbe dovuto essere presentato al team del piede della Balgrist per valutazione e proposte di terapia (cfr. doc. 87). Il Prof. dott. __________, Primario di reumatologia presso la Clinica __________, ha visitato l’insorgente nel novembre 2019. Dal relativo referto si evince in particolare come egli non abbia riscontrato indizi a favore della presenza di una florida CRPS. Il dott. __________ ha quindi auspicato che l’assicurato venisse valutato presso un centro per la terapia del dolore (doc. 100). In data 9 gennaio 2020 ha avuto luogo una nuova consultazione presso il PD dott. __________, Capoclinica di ortopedia presso la Clinica __________. Egli ha riferito che dal profilo radiologico è emerso un normale allineamento del 5. e 4. raggio, come pure un’artrosi da incipiente a moderata a livello dell’articolazione metatarso falangea I. A suo avviso, i disturbi descritti dall’assicurato e lo stato clinico parlano piuttosto a favore di un sovraccarico del bordo laterale in presenza di un leggero retropiede varo e di una marcia da risparmio. A tal fine, egli ha prescritto l’utilizzo di calzature ortopediche con plantari (doc. 106). Nel prosieguo, RI 1 è entrato in cura dapprima presso l’Istituto per la medicina del dolore di __________ (__________) e in seguito, a partire dal maggio 2020, presso il __________ dell’Ospedale __________ di __________. Dai relativi rapporti agli atti risulta che le terapie ivi applicate si sono rivelate solo in parte efficaci, i dolori sul bordo laterale del piede destro essendo rimasti invariati. Da notare che nei primi referti della dott.ssa __________, Capoclinica presso il suddetto centro, la diagnosi era quella di sospetta neuropatia del nervo peroneo superficiale destro. Il sospetto di una problematica neuropatica periferica derivava dal fatto che l’assicurato aveva tratto beneficio dalle infiltrazioni effettuate a livello del nervo peroneo superficiale (cfr. doc. 142 e 153: “… multiple infiltrazioni a livello del nervo peroneo superficiale, ogni volta con beneficio, facendo sospettare una problematica neuropatica periferica .”). Con la propria impugnativa, l’avv. RA 1 rimprovera in sostanza all’amministrazione, e meglio ai suoi medici fiduciari, di aver posto le diagnosi che sono poi servite da base per valutare l’esigibilità lavorativa (esclusione di un danno di natura neurologica, disestesie descritte dal paziente non chiare e non attribuibili ad alcuno specifico dermatoma, rispettivamente assenza di una CRPS) senza procedere a quelle (ulteriori) indagini che si sarebbero imposte, a suo avviso, in virtù dell’art. 43 LPGA.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2.3.5.   Chiamato a pronunciarsi nella concreta evenienza, tutto ben considerato, il TCA ritiene di poter validamente far capo al parere dei medici interpellati dall’amministrazione, specialisti nelle materie che qui interessano (in questo contesto, va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Questo Tribunale ritiene inoltre che la restante documentazione medica non è suscettibile di generare dei dubbi, nemmeno lievi, circa la fondatezza della valutazione dei medici consulenti dell’assicuratore. In questo senso, va constatato come nessuno degli specialisti coinvolti abbia preteso che l’insorgente presenti una qualsiasi inabilità lavorativa nell’esercizio di un’attività sostitutiva idonea. Del resto, neppure le obiezioni ricorsuali sollevate dal rappresentante dell’assicurato appaiono atte a supportare le sue pretese. L’avv. RA 1 non può essere seguito laddove fa valere che l’CO 1 avrebbe violato il proprio dovere di accertamento omettendo di approfondire la fattispecie dal profilo diagnostico. La documentazione agli atti testimonia invece che i disturbi denunciati dall’insorgente sono stati indagati adeguatamente, da più punti di vista (ortopedico, neurologico e reumatologico) e ad un alto livello specialistico (principalmente da parte dei sanitari della Clinica universitaria __________ di __________). Inoltre, occorre precisare che, chiamato dall’amministrazione a prendere posizione in merito alla domanda di benestare per il posizionamento di un neurostimolatore, il PD __________ ne ha negato l’indicazione in quanto la presenza di una lesione nervosa, interessante in particolare il ramo superficiale del nervo peroneo, non risultava sufficientemente dimostrata, e ciò a fronte degli esiti degli esami neurofisiologici a cui era stato sottoposto l’assicurato (a proposito del fatto che gli specialisti della medicina del dolore fanno dipendere la diagnosi di neuropatia del nervo peroneo superficiale destro dalla riduzione della sintomatologia denunciata dall’assicurato dopo le infiltrazioni, il TCA rileva che ciò non basta per ammettere che il danno in questione sia stato oggettivato ai sensi della giurisprudenza federale, nella misura in cui la pretesa oggettivazione viene fatta dipendere in definitiva dalle risposte fornite dal paziente – cfr. STF 8C_614/2020 del 7 settembre 2021 consid. 2.2 e i riferimenti ivi menzionati; in questo senso si veda pure la STCA 35.2015.105 del 25 novembre 2016 consid. 2.2.6., nota al patrocinatore del ricorrente). Il neurologo fiduciario non ha però escluso che i dolori di cui soffre l’insorgente potessero essere di altra natura, per la precisione di natura nocicettiva (il dolore nocicettivo è quello provocato da un danno ai tessuti di tipo infiammatorio o di tipo meccanico, come si verifica in un’articolazione interessata da processi degenerativi, quali l’artrosi), legati alle alterazioni ossee rilevate a livello del piede destro, anche se di entità più contenuta rispetto a quella da lui denunciata (in questo senso, si veda anche quanto osservato dal dott. __________ a proposito della riscontrata simmetricità dei calli plantari, cfr. supra , consid. 2.3.3.). D’altro canto, trattandosi della pretesa diagnosi di CRPS, va rilevato come la sua presenza sia stata negata, per primo, dal Prof. dott. __________, a margine della consultazione del 27 novembre 2019, che era stata disposta proprio per approfondire tale aspetto (cfr. doc. 100, p. 1: “ Die Zuweisung erfolgte mit Frage nach vorliegendem CRPS am rechten Fuss .”). Ora, il dott. __________, professore titolare presso la Facoltà di medicina dell’Università di __________, è autore di numerose ricerche scientifiche sul tema (si vedano i riferimenti citati nel sito web della __________) ed è considerato uno dei massimi esperti nella materia. Questa Corte non ha alcun valido motivo per mettere in discussione il suo parere. Del resto, dalle richiamate certificazioni agli atti del Centro __________ non risulta nulla che possa sostanziare la tesi opposta, difesa dal rappresentante dell’assicurato. Stante quanto sopra esposto, richiamato l'obbligo che incombe all'assicurato d’intraprendere tutto quanto sia ragionevolmente esigibile per ovviare alle conseguenze del discapito economico cagionato dal danno alla salute (DTF 123 V 233 consid. 3c, 117 V 278 consid. 2b, 400 e i riferimenti ivi citati), è da ritenere dimostrato che, nonostante i disturbi infortunistici residuali, il ricorrente sarebbe in grado di svolgere, a tempo pieno e con un rendimento completo, un'attività lavorativa confacente, in sostanza un’attività in posizione seduta o alternata, nel cui esercizio egli possa evitare d’inginocchiarsi o di accovacciarsi, di salire su scale a pioli e ponteggi, di camminare per lunghi tratti e di camminare su terreno accidentato. Del resto, la valutazione dell'esigibilità lavorativa espressa dal medico __________ risulta plausibile anche alla luce dei precedenti giurisprudenziali riportati qui di seguito, riguardanti assicurati che accusavano limitazioni nell'utilizzo degli arti inferiori (cfr., a questo proposito, STCA 35.2017.111 del 20 giugno 2018 consid. 2.4.5. e riferimenti ivi citati e STCA 35.2018.69 dell’11 febbraio 2019 consid. 2.3.5.). È ancora utile segnalare che, in una sentenza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piena capacità lavorativa in attività confacenti (in questo stesso senso, si vedano pure la STFA U 93/04 del 14 febbraio 2005 consid. 5, concernente un assicurato che presentava le sequele di una frattura del calcagno destro e la STFA U 38/01 del</w:t>
      </w:r>
    </w:p>
    <w:p>
      <w:r>
        <w:rPr>
          <w:b/>
        </w:rPr>
        <w:t>E. 2.4</w:t>
      </w:r>
    </w:p>
    <w:p>
      <w:r>
        <w:t>Entità della menomazione dell’integrità?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proprio medico __________, ha assegnato al ricorrente un’IMI del 15% (cfr. doc. 239, p. 4). Con apprezzamento del 30 agosto 2021, il dott. __________, spec. FMH in chirurgia ortopedica e traumatologia, ha così valutato l’entità della menomazione dell’integrità riportata dall’assicurato: " (…). 1       Befund Status nach Lisfranc-Distorsion und undislozierter Cuboidfraktur rechts, vollständig konsolidiert mit persistierenden neuropathischen Beschwerden. 2       Schätzung des Integritätsschaden 15% 3       Begründung Gemäss Tabelle 2 UVG resultiert für eine schmerzhafte Funktionsstörung nach Luxationsfraktur im Lisfrancgelenk oder nach Mittelfussfrakturen eine Integritätsentschädigung von 10 bis 20%. Eine funktionelle Störung lässt sich nicht eruiren. Bei jedoch initialen Zeichen einer Arthrose sowie subjektiven neuropathischen Schmerzen ist der aktuelle Zustand vergleichbar mit einer schmerzhaften Funktionsstörung, weshalb 15% gerechtfertigt sind.” (doc. 224) Da parte sua, il rappresentante di RI 1 pretende il riconoscimento di un’indennità del 30%, ribadendo che l’istruttoria medica compiuta dall’CO 1 sarebbe stata “ superficiale e lacunosa ”, segnatamente per quanto riguarda la ricerca di una CRPS (cfr. doc. I, p. 6 s.). Chiamato a pronunciarsi su una questione di natura squisitamente medica, il TCA non vede ragioni per scostarsi dalla valutazione della menomazione dell’integrità enunciata dal dott. __________. Del resto, il parere del medico __________ non risulta smentito da altre certificazioni specialistiche agli atti. Le obiezioni sollevate al riguardo con il ricorso appaiono infondate. Così come già rilevato in precedenza, i disturbi denunciati dall’insorgente sono stati adeguatamente indagati, e ciò anche dal profilo della ricerca di un’eventuale CRPS. In conclusione, la decisione su opposizione impugnata merita tutela anche nella misura in cui l’insorgente è stato posto al beneficio di un’IMI del 15%.</w:t>
      </w:r>
    </w:p>
    <w:p>
      <w:r>
        <w:rPr>
          <w:b/>
        </w:rPr>
        <w:t>E. 2.5</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4 gennaio 2022 per cui si applica la nuova disposizione legale. Trattandosi di una controversia relativa a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5</w:t>
      </w:r>
    </w:p>
    <w:p>
      <w:r>
        <w:t>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2.3.6.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i dati del 2021 (data di stabilizzazione dello stato di salute: 1° novembre 2021 - cfr. doc. 225). 2.3.7.   Per quanto concerne il reddito da valido , secondo l’assicuratore infortuni resistente, senza il danno alla salute infortunistico, l’assicurato, nel 2021, avrebbe realizzato un reddito lordo di fr. 67'200 (doc. 237). L’avv. RA 1 ne contesta l’entità, facendo valere che l’istituto assicuratore avrebbe omesso di prendere in considerazione le gratifiche/bonus riconosciuti regolarmente dal datore di lavoro, come pure la tredicesima mensilità (cfr. doc. I). Questo Tribunale constata che, in data 17 giugno 2021, la ditta __________ ha quantificato in fr. 72'800 (+ fr. 200/mese di rimborso spese) il salario lordo soggetto all’AVS che l’insorgente avrebbe percepito nel 2021 senza il danno alla salute (doc. 199). Su richiesta dell’amministrazione, l’ex datore di lavoro ha poi precisato che le spese di fr. 200/mese non erano soggette all’AVS (“ Nein, die Spesen sind nicht AHV-Pflichtig ”) e che fino ad allora la tredicesima mensilità era stata versata su base volontaria (non essendo prevista dal contratto) ma di non poter dire se ciò sarebbe stato il caso anche nel 2021, in quanto legata alle prestazioni fornite dal lavoratore (cfr. doc. 201). Alla luce di quanto precede, non risulta innanzitutto dimostrato che, durante il rapporto di lavoro, il ricorrente avrebbe regolarmente beneficiato di gratifiche/bonus. Ciò non emerge dall’annuncio d’infortunio del 12 luglio 2018 (doc. 1), né è stato preteso dal suo ex datore di lavoro. Da quanto dichiarato da quest’ultimo (cfr. doc. 199 e doc. 201) sembrerebbe piuttosto che fosse la tredicesima mensilità a venir pagata a mò di gratifica (si veda, d’altronde, la distinta dei salari relativa al periodo luglio 2017 – giugno 2018, da cui risulta il pagamento, nel mese di novembre 2017, di un importo di fr. 5'300 a titolo di “ Freiwillige Gratifikation ” – cfr. doc. 97, p. 1). D’altro canto - non essendo soggetta all’AVS - la somma versata a titolo di rimborso spese (fr. 200/mese) non poteva essere presa in considerazione per determinare il reddito da valido. Trattandosi infine della tredicesima mensilità, visto che essa è sempre stata pagata, può essere ammesso, con un sufficiente grado di verosimiglianza, che lo sarebbe stata anche nel 2021, nel caso in cui l’assicurato non fosse rimasto vittima del noto infortunio. Il reddito da valido ammonta quindi a fr. 72'800 (fr. 5'600 x 13 mensilità). 2.3.8.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2.3.9.   Nella presente fattispecie, l’istituto resistente ha quantificato in fr. 68'717 il reddito da invalido, facendo capo alla tabella RSS TA 1 2018, media totale, livello di competenze 1, uomini, aggiornato al 2021, rinunciando poi ad applicare una qualsiasi riduzione (cfr. doc. 237). Da parte sua, il rappresentante contesta l’entità del reddito senza l’invalidità ritenuto dall’amministrazione, nella misura in cui non è stata applicata alcuna riduzione, né a titolo di gap salariale né a titolo di riduzione sociale. Per quanto concerne il primo aspetto , a suo avviso, per stabilire il reddito mediamente realizzabile (a livello nazionale) nel settore specifico (settore economico 41-43) andrebbe considerato il livello di competenze 3 della tabella TA 1 (attività pratiche complesse che richiedono ampie conoscenze in ambito specifico - cfr. doc. I, p. 5). Al riguardo, l’CO 1 ha osservato che “… il percorso professionale dell’assicurato non permette di riconoscere il livello 3”, rispettivamente che “… un assicurato che, per il guadagno da valido, ritiene di presentare un gap salariale alla luce dei salari di cui al livello 3, non può pretendere che il guadagno da invalido venga fissato in base al livello 1 così come ritenuto in concreto. Un lavoratore che ha svolto, nella sua professione originaria dei lavori complessi, è in grado di sfruttare le proprie competenze in un’attività meno impegnativa dal lato fisico rispetto a chi ha sempre e solo svolto dei lavori di manovalanza.” (doc. III, p. 3 s.). A proposito della questione di sapere quale livello di competenze vada applicato ai fini della determinazione del gap salariale, è utile segnalare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(cfr. tabella TA 1_skill_level della RSS 2012; DTF 142 V 178 consid. 2.5.3).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(cfr. STF 9C_ 370/2019 del 10 luglio 2019 consid. 4.1 e riferimenti ivi citati). In questo contesto, è utile segnalare che il livello di competenze 2 è stato ritenuto corretto dal TF, ad esempio, nella sentenza 9C_177/2018 del 28 settembre 2018 consid. 3.2, riguardante un muratore diplomato che aveva maturato una lunga esperienza professionale in diversi ambiti e inoltre portato a termine numerosi perfezionamenti, in cui è stato precisato che: " (…) Dabei vermag er nicht aufzuzeigen, dass die Feststellung des kantonalen Gerichts, wonach er (u.a.) im administrativen Bereich über diverse Weiterbildungen sowie in verschiedenen Branchen über mehrjährige Berufserfahrung verfüge, offensichtlich unrichtig wäre. Diese bleibt deshalb für das Bundesgericht verbindlich (oben E. 1.1 und E. 1.2). Nicht stichhaltig ist der Verweis auf die Urteile 9C_780/2016 vom 3. Oktober 2017 (E. 4.3), 9C_125/2009 vom 19. März 2010 (E. 4.4.3) sowie 8C_386/2013 vom 15. Oktober 2013 (E. 6.3). Die dort am Recht stehenden Versicherten verfügten nicht über Fähigkeiten oder Kenntnisse, die (nach invaliditätsbedingtem Berufswechsel) auch in anderen Berufen einsetzbar waren. Der hier zu beurteilende Fall unterscheidet sich davon massgeblich: Dem Beschwerdeführer ist eine Tätigkeit als Betriebsfachmitarbeiter grundsätzlich nach wie vor zumutbar (an einer den Einschränkungen angepassten Stelle; vgl. Expertise vom 21. Juni 2016), wobei seine bisherige langjährige Berufserfahrung auf diversen Gebieten sowie die zahlreichen Weiterbildungen (etwa als Staplerfahrer, Betriebssa-nitäter sowie im Bereich der EDV) nutzbar bleiben. Die Einordnung in Kompetenzniveau 2 verletzt demnach kein Bundesrecht. (…)." In concreto, l’insorgente ha conseguito un attestato federale di capacità (AFC) quale muratore. Dall’estratto conto individuale risulta inoltre che egli è stato attivo professionalmente (a far tempo dal 1979) in ambiti diversi, alternando periodi in cui ha svolto un’attività dipendente, ad altri in cui ha lavorato quale indipendente, ad altri ancora in cui si è trovato in disoccupazione. Negli (ultimi) anni che hanno preceduto l’infortunio, la sua attività professionale si è concentrata nel settore della costruzione e della manutenzione di piscine (cfr. doc. 204, p. 3 ss.). Alla luce di quanto appena esposto, il TCA ritiene che determinante nel caso di specie sia il livello di competenze 2 (e quindi non 3 come pretende invece il patrocinatore del ricorrente). Il bagaglio professionale e formativo dell'insorgente non va infatti oltre quello di cui dispongono le persone che svolgono i compiti pratici risultanti da tale livello. Del resto, secondo la giurisprudenza federale, se è vero che un’esperienza pluriennale non è trascurabile, nondimeno oggigiorno praticamente in ogni settore professionale vengono richiesti un diploma o comunque delle formazioni e dei perfezionamenti. Di questo aspetto tiene conto anche il testo tedesco della RSS che, già per il livello di esigenze 3 (dalla RSS 2012: livello 2), non si limita a richiedere conoscenze professionali, bensì parla di “ Berufs- und Fachkenntnisse ” (in francese: “ connaissances professionnelles spécialisées ”), attribuendo in tal modo una rilevanza importante anche alla componente formativa (cfr., fra le tante, la STF 9C_993/2010 del 2 dicembre 2011 consid. 4.4.1 e i riferimenti ivi citati; STCA 35.2017.87 del 6 dicembre 2017 consid. 2.7). Il livello 3 trova applicazione quando il lavoratore – e non è il caso di specie - svolgeva compiti pratici complessi che necessitano un vasto insieme di conoscenze in un ambito specializzato. Tenuto conto di quanto precede, il calcolo del gap salariale si presenta nei seguenti termini. Secondo la tabella TA1_skill_levels 2018, settore economico 41-43 (“ Costruzioni ”), livello di competenze 2, il reddito mediamente conseguito in Svizzera da un uomo, è di fr. 5’962/mese. Questo reddito deve essere riportato su 41.3 ore/settimana, dato che corrisponde alla durata normale del lavoro nel settore 41-43 in base alla relativa tabella pubblicata sul sito web dell’UFS (“Durée normale du travail dans les entreprises selon la division économique [NOGA 2008]”), per cui esso si attesta a fr. 6'155.76/mese oppure a fr. 73'869.12/anno. Dopo adeguamento all’indice dei salari nominali riferito sempre al settore 41-43 (cfr. tabella T.1.1.15 – 2018: 101.2, 2020: 103), si ottiene, per il 2020, un reddito annuo di fr. 75'182.99 e, per il 2021 (stima trimestrale dell’evoluzione dei salari nominali: +0.1% rispetto allo stesso trimestre dell’anno precedente), di fr. 75'258.17. Posto che, qualora non fosse insorto il danno alla salute, continuando a lavorare alle dipendenze della ditta __________, l’assicurato avrebbe realizzato nel 2021 un reddito pari a fr. 72’800, il gap salariale ammonta al 3% , insufficiente a giustificare una corrispondente decurtazione del reddito statistico da invalido (cfr. supra , consid. 2.3.8.). Con la propria impugnativa, l’avv. RA 1 censura il reddito da invalido stabilito dall’CO 1 anche nella misura in cui non è stata applicata alcuna deduzione sociale. A suo avviso, quest’ultima avrebbe dovuto elevarsi almeno al 20%, tenuto conto di “… fattori quali l’età, le limitazioni funzionali di cui soffre il sig. RI 1 (…), gli importanti e costanti dolori, l’uso massiccio di oppiacei e, altresì alla luce di altre circostanze che influiscono in maniera negativa sulle sue possibilità di reinserirsi professionalmente in un’attività consona e che di tutta evidenza gli impedirebbero di ottenere il reddito statistico, come in particolare: un eventuale posto di lavoro dev’essere accessibile con un ascensore, in effetti l’assicurato non può salire e scendere le scale senza difficoltà, la necessità di trovare un eventuale datore di lavoro disposto a creare una postazione di lavoro ergonomica per permettere all’assicurato di lavorare per esempio con il piede dx sopraelevato, di fare delle pause regolari, ecc.” (doc. I, p. 5 s.). A tal proposito,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Trattandosi dell’invocata riduzione dettata dagli impedimenti fisici , secondo la più recente giurisprudenza federale,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dalla documentazione medica che questa Corte ha giudicato affidabile emerge che, nonostante il danno salute, l’assicurato sarebbe ancora in grado di esercitare, senza limiti di tempo o di rendimento, attività lavorative da svolgere in posizione seduta o alternata. Il fatto che egli debba astenersi dall’ inginocchiarsi o dall’accovacciarsi, dal salire su scale a pioli o ponteggi, dal camminare su terreno accidentato e dal percorrere a piedi lunghi tratti, non aggrava il profilo dell’esigibilità (per definizione un’attività seduta non implica il doversi inginocchiare o accovacciare, il dover salire su scale a pioli o ponteggi, ecc.). Secondo questo Tribunale, tenuto conto dell’esigibilità appena descritta, occorre ammettere che il ricorrente beneficia di un ventaglio di attività sostitutive esigibili ancora sufficientemente ampio, motivo per il quale una decurtazione a tale titolo non si giustifica.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Anche l’età del ricorrente al momento determinante (novembre 2021) – 60 anni – non giustifica una decurtazione a tale titolo del reddito statistico da invalido (in questo senso, si veda la STF 8C_466/2021 del 1° marzo 2022 consid. 3.6.2, destinata alla pubblicazione, concernente un assicurato di 61 anni , in cui la Corte federale ha rilevato che, in base alle rilevazioni RSS, nel caso di uomini che si trovano nella fascia tra i 50 e i 64/65 anni, l’età comporta piuttosto un aumento del livello retributivo, trattandosi di posti di lavoro senza funzione di quadro e che, in concreto, il ricorrente non era stato in grado d’indicare per quali motivi, su un mercato del lavoro equilibrato, egli avrebbe guadagnato meno in ragione della sua età). Inoltre, secondo la giurisprudenza federale, il fatto che la ricerca di un’occupazione sia resa difficoltosa dall’età, costituisce un fattore estraneo all’invalidità di cui non si deve tener conto (cfr. DTF 146 V 16 consid. 7.2.1; STF 8C_239/2021 del 4 novembre 2021 consid. 5.3). In questo contesto, si consideri pure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succitata STF 8C_466/2021 consid. 3.6.1). Il reddito statistico da invalido ammonta, dunque, a fr. 68'717 , così come stabilito dall’assicuratore resistente. Ora, confrontando i fr. 68'717 al reddito che l’insorgente avrebbe potuto conseguire senza il danno alla salute, e cioè fr. 72'800 (cfr. supra , consid. 2.3.7.), risulta una perdita di guadagno del 5.60%, arrotondata al 6% , insufficiente per fondare il diritto a una rendita d’invalidità LAINF. La decisione su opposizione, mediante la quale è stata negata l’assegnazione di una rendita, deve quindi essere confermata.</w:t>
      </w:r>
    </w:p>
    <w:p>
      <w:r>
        <w:rPr>
          <w:b/>
        </w:rPr>
        <w:t>E. 36</w:t>
      </w:r>
    </w:p>
    <w:p>
      <w:r>
        <w:t>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2.4.3.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2.4.4.   LCO 1 ha allestito una serie di tabelle, dalla griglia molto più serrata, che integrano quella dell'ordinanza.</w:t>
      </w:r>
    </w:p>
    <w:p>
      <w:r>
        <w:t>Semplici direttive di natura amministrativa, esse non hanno valore di legge e non vincolano il giudice (cfr. STF I 102/00 del 22 agosto 2000; DTF 125 V 377 consid. 1c; STF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2.4.5.   Nel caso di specie, lassicuratore LAINF resistente, sentito il parere del proprio medico __________, ha assegnato al ricorrente unIMI del 15% (cfr. doc. 239, p. 4).</w:t>
      </w:r>
    </w:p>
    <w:p>
      <w:r>
        <w:t>Sul tema cfr. anche STF 9C_13/2022 del 16 febbraio 2022; STF 9C_394/2021 del 3 gennaio 2022; STF 8C_265/2021 del 21 luglio 2021(al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