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35.2021.97 vom 8. Juni 2021</w:t>
      </w:r>
    </w:p>
    <w:p>
      <w:r>
        <w:t>TI Tribunale d'appello, 2021-06-08, IT</w:t>
      </w:r>
    </w:p>
    <w:p>
      <w:r>
        <w:rPr>
          <w:b/>
        </w:rPr>
        <w:t xml:space="preserve">Quelle: </w:t>
      </w:r>
      <w:r>
        <w:t>https://mcp.opencaselaw.ch/entscheid/ti_gerichte_35.2021.97_d20210608</w:t>
      </w:r>
    </w:p>
    <w:p>
      <w:r>
        <w:t>FR: TI_GERICHTE 35.2021.97 du 8 juin 2021</w:t>
      </w:r>
    </w:p>
    <w:p>
      <w:r>
        <w:t>IT: TI_GERICHTE 35.2021.97 del 8 giugno 2021</w:t>
      </w:r>
    </w:p>
    <w:p>
      <w:pPr>
        <w:pStyle w:val="Heading2"/>
      </w:pPr>
      <w:r>
        <w:t>Regeste</w:t>
      </w:r>
    </w:p>
    <w:p>
      <w:r>
        <w:t>Oepraio qualificato (già in malattia al momento degli infortuni). Prima braccio destro e poi gomito destro. Stabilizzazione stato di salute all'8 giugno 2021 confermata. No rendita di invalidità</w:t>
      </w:r>
    </w:p>
    <w:p>
      <w:pPr>
        <w:pStyle w:val="Heading2"/>
      </w:pPr>
      <w:r>
        <w:t>Erwägungen</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2.3.2.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w:t>
      </w:r>
    </w:p>
    <w:p>
      <w:r>
        <w:rPr>
          <w:b/>
        </w:rPr>
        <w:t>E. 21</w:t>
      </w:r>
    </w:p>
    <w:p>
      <w:r>
        <w:t>giugno 2019 si applica il diritto anteriore. In concreto, il ricorso è del 9 dicembre 2021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