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35.2021.89 vom 14. März 2022</w:t>
      </w:r>
    </w:p>
    <w:p>
      <w:r>
        <w:t>TI Tribunale d'appello, 2022-03-14, IT</w:t>
      </w:r>
    </w:p>
    <w:p>
      <w:r>
        <w:rPr>
          <w:b/>
        </w:rPr>
        <w:t xml:space="preserve">Quelle: </w:t>
      </w:r>
      <w:r>
        <w:t>https://mcp.opencaselaw.ch/entscheid/ti_gerichte_35.2021.89</w:t>
      </w:r>
    </w:p>
    <w:p>
      <w:r>
        <w:t>FR: TI_GERICHTE 35.2021.89 du 14 mars 2022</w:t>
      </w:r>
    </w:p>
    <w:p>
      <w:r>
        <w:t>IT: TI_GERICHTE 35.2021.89 del 14 marzo 2022</w:t>
      </w:r>
    </w:p>
    <w:p>
      <w:pPr>
        <w:pStyle w:val="Heading2"/>
      </w:pPr>
      <w:r>
        <w:t>Erwägungen</w:t>
      </w:r>
    </w:p>
    <w:p>
      <w:r>
        <w:rPr>
          <w:b/>
        </w:rPr>
        <w:t>E. 2</w:t>
      </w:r>
    </w:p>
    <w:p>
      <w:r>
        <w:t>Cost. le parti hanno diritto di essere sentite. Per costante giurisprudenza (STF 8C_535/2007 del 25 aprile 2008 consid. 4.2),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132 V 387, 127 V 219, 127 V 431, 127 I 56, 126 V 130). Il diritto di essere sentito comprende l’obbligo per l’autorità di motivare le proprie decisioni. Tale obbligo ha lo scopo, da un lato, di porre la persona interessata nelle condizioni di afferrare le ragioni poste a fondamento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(STF U 397/05 del 24 gennaio 2007 consid. 3.2 con riferimenti; DTF 129 I 232 consid. 3.2 pag. 236; STCA 32.2018.3 del 30 gennaio 2019, consid. 2.1; STCA 35.2019.12 del 5 febbraio 2020, consid. 2.1; STCA 35.2020.53 del 1° marzo 2021, consid. 2.3; cfr., tra le tante, la recentissima STF 8C-668/2021 del 18 febbraio 2022, consid. 2.4). Secondo il TCA, la decisione impugnata non è solo sufficiente-mente motivata ma è pure chiaramente comprensibile. In effetti, nella stessa, l'amministrazione ha chiaramente indicato i motivi per cui ha ritenuto l’assicurato abile nei limiti della rendita in vigore dal 10 febbraio 2021 e ha pertanto chiuso la ricaduta del 6 novembre 2020. Nella risposta di causa del 17 novembre 2020 (doc. III) l'Istituto resistente ha nuovamente spiegato in modo dettagliato i motivi della propria decisione (doc. III, pag. 2-4). Del resto l’assicurato ha dimostrato di aver compreso la portata del provvedimento contestato ed i motivi per cui l'amministrazione ha ritenuto che fosse abile nei limiti della rendita in vigore dal 10 febbraio 2021 e ha pertanto chiuso la ricaduta del 6 novembre 2020, con il ricorso in disamina. Inoltre, invitato dal TCA a presentare delle osservazioni in merito alla risposta dell’amministrazione (doc. IV), è rimasto silente. Ne consegue che, nel caso di specie, non è ravvisabile una violazione del diritto di essere sentito di RI 1 e la censura sollevata al riguardo dal suo patrocinatore va pertanto disattesa. Il TCA può pertanto entrare nel merito del ricorso. nel merito 2.4.   Litigiosa è la questione di sapere se, a dipendenza della ricaduta annunciatagli nel novembre 2020, l’istituto convenuto era legittimato a negare un aumento della rendita di invalidità in vigore a decorrere dal 1° febbraio 2021, oppure no. 2.5.   Secondo l'art. 17 cpv. 1 LPGA, se il grado di invalidità del beneficiario della rendita subisce una notevole modificazione, per il futuro la rendita è aumentata o ridotta proporzionalmente, oppure soppressa, d'ufficio o su richiesta. Questa norma è stata ripresa dall'art. 22 cpv. 1 prima frase vLAINF, il quale prevedeva che se il grado d'invalidità muta notevolmente, la rendita sarà corrispondentemente aumentata, ridotta oppure soppressa. L'art. 22 LAINF - analogamente all'art. 22 cpv. 1 seconda frase vLAINF - recita che, in deroga all'articolo 17 cpv. 1 LPGA, la rendita non può più essere riveduta dal mese in cui gli uomini compiono 65 anni e le donne 62. L'istituto della revisione ha per scopo l'adeguamento della rendita d'invalidità alle mutate circostanze e non la correzione di errori di commisurazione dell'invalidità di cui sia stata viziata la decisione iniziale o una revisione successiva (Ghèlew, Ramelet, Ritter, Commentaire de la loi sur l’assurance-accidents (LAA), Losanna 1992, p. 114). La revisione presuppone, dunque, che l'invalidità abbia subìto sostanziali mutamenti dopo la costituzione della rendita o una sua successiva revisione (DTF 113 V 275 consid. 1a e riferimenti ivi menzionati). Per costante giurisprudenza, il TF considera che i principi dedotti dall'art. 41 LAI si applicano per analogia pure nell'ambito della revisione delle rendite di invalidità assegnate dall'CO 1, indipendentemente dal fatto che essa sia disciplinata dall'art. 80 LAMI oppure dall'art. 22 LAINF (RAMI 1987 U 32 p. 446s.). 2.6.   L'invalidità può modificarsi essenzialmente per due ordini di motivi: sia perché cambia lo stato di salute, sia perché il danno alla salute, pur rimanendo immutato, si ripercuote diversamente sulla capacità lucrativa dell'assicurato, ossia sulla sua capacità di procurarsi un guadagno col proprio lavoro (cfr. DTF 130 V 343 consid. 3.5, 126 V 75 consid. 1b, 113 V 275 consid. 1a, 109 V 116 consid. 3b). L'assicurato può, infatti, migliorare, in prosieguo di tempo, le proprie attitudini professionali, acquisire conoscenze che gli consentano l'inserimento in attività meglio rimunerate, reperire un posto confacente in modo ideale al suo stato di salute ed alle sue attitudini, ben pagato e sicuro, mettendo in atto una situazione non prevedibile al momento di stabilire il reddito ipotetico da invalido. Oppure le sue capacità di guadagno possono, per motivi diversi, peggiorare. Secondo la giurisprudenza federale, anche il reddito da valido può essere liberamente riesaminato nell’ambito di una revisione della rendita, senza alcun vincolo all’originaria decisione di rendita (cfr. STF U 183/02 del 26 maggio 2003 consid. 6.2). 2.7.   Il mutamento deve, inoltre, essere notevole. Secondo la giurisprudenza resa prima dell'entrata in vigore della LAINF, la modifica doveva essere apprezzata relativamente al grado di invalidità precedentemente accertato: così, un mutamento del 5% è stato considerato notevole per rapporto ad un'invalidità del 15% ma poco importante per rapporto ad un'invalidità iniziale del 75% (cfr. Ghèlew, Ramelet, Ritter, op. cit., p. 115 e dottrina ivi citata). 2.8.   Per rivedere una rendita di invalidità non basta un semplice cambiamento passeggero: le circostanze di base devono mutare presumibilmente a lungo termine. In particolare, non è motivo di revisione un temporaneo aumento di guadagno dell'assicurato (cfr. Ghèlew, Ramelet, Ritter, op. cit., p. 114). 2.9.   La questione di sapere se si è prodotto un simile cambiamento deve essere vagliata comparando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(cfr. cfr. consid. 2.3 non pubblicato della DTF 139 V 585; DTF 133 V 108 consid. 5; STF 9C_985/2008 del 20 luglio 2009 consid. 4, 9C_148/2007 del 21 gennaio 2008 consid. 3.2). Tanto nel fissare inizialmente la rendita di invalidità quanto nel rivederla successivamente si deve ipotizzare un mercato del lavoro in condizioni di normalità, cioè essenzialmente equilibrato. I mutamenti congiunturali, il passaggio, ad esempio, da una fase di recessione a una di crescita economica, non sono motivo di revisione. Non si tiene parimenti conto, né prima né dopo, di fattori estranei al danno della salute. Ad esempio, le scarse conoscenze scolastiche, le difficoltà linguistiche, le insufficienti attitudini professionali, ecc., non sono rilevanti ai fini della commisurazione dell'invalidità. Ciò che importa è la diminuzione della capacità di guadagno, presunta permanente o di rilevante durata, cagionata da un danno alla salute fisica o psichica conseguente ad infortunio Sola conta, infatti, per la determinazione dell'invalidità, l'incapacità lucrativa in nesso causale con il danno alla salute (che, a sua volta, nell'assicurazione obbligatoria contro gli infortuni, deve essere in relazione causale con l'infortunio). 2.10.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STCA 35.2020.38 del 9 novembre 2020, consid. 2.9). 2.11.   Nella concreta evenienza, a seguito dell’infortunio del 24 ottobre 2015, l’assicurato è stato posto al beneficio di una rendita di invalidità del 12% a far tempo dal 1° maggio 2017 (decisione del 27 settembre 2017: doc. 150 incarto LAINF Dalle carte processuali emerge che, in seguito all’infortunio ed al persistere dei dolori al piede sinistro, l’assicurato è stato sottoposto il 17 novembre 2016 ad una risonanza magnetica (doc. 95 incarto LAINF) che ha messo in evidenza quanto segue: " (…). Regelrechter Befund bei bekannter nicht dislozierter intraartikulärer Talusfraktur mit Frakturausläufer ins USG und subtalar posterior ohne Stufenbildung. Einzig minimes subkortikales Spongiosaödem ventral an der mediaten Talusschulter sowie leicht aktivierte Synchondrose am Os trigonum. Ansonsten normales Knochenmarksignal ohne Anhalt für Osteonekrose oder Morbus Sudeck. Kein Hinweis auf entzündliche Affektion. Keine anderweitige Fraktur. Intakte Sehnen und Bänder. Intakte Syndesmose. (…)” In medesima data è stato visitato, su richiesta del medico __________, dal Prof. dr. med. __________, il quale, nella relativa valutazione medica del 22 novembre 2016 (doc. 98 incarto LAINF), ha indicato quanto segue: " Diagnosen Restbeschwerden 13 Monate nach undislozierter Taluscorpusfraktur links (24.10.15) (…). Zusatzuntersuchungen MRI OSG links 17.11.2016: Vernarbtes LFTA. Verheilte Fraktur in anatomischer Stellung ohne umgebendes KnoChenmarksödem. Keine Arthrose des OSG/USG. Kein Erguss, keine Synovialitis. Beurteilung und Prozedere Anatomisch verheilte Talusfraktur, ohne Hinweise auf persistierende Heilungsaktivität, ohne entzündliche Umgebungsreaktion, ohne posttraumatische Arthrose. Die Beschwerden dürften somit spontan verschwinden, die Prognose ist gut, der Fuss belastbar. Aufgrund dieser objektiven Situation besteht keine Einschränkung der Belastbarkeit (…)”. (n.d.r.: il grassetto non è della redattrice) Con apprezzamento medico del 10 febbraio 2017 (doc. 113 incarto LAINF) il medico __________, dr. med. __________, specialista FMH in chirurgia ortopedica e traumatologia dell’apparato locomotore, aveva indicato quanto segue: " Esigibilità del lavoro Molto spesso può sollevare e portare pesi molto leggeri, leggeri, medi, fino all'altezza dei fianchi, talvolta può sollevare e portare pesi pesanti fino all'altezza dei fianchi, mai può sollevare e portare pesi molto pesanti fino all'altezza dei fianchi, molto spesso può sollevare oltre l'altezza del petto fino a 5 kg e oltre i 5 kg. Molto spesso può maneggiare attrezzi leggeri e di precisione e medi, di rado può maneggiare attrezzi pesanti - lavoro manuale rozzo, mai può eseguire lavoro molto pesante, molto spesso può eseguire la rotazione della mano bilateralmente. Molto spesso può eseguire lavori sopra la testa, rotazione, posizione seduta inclinata in avanti, posizione in piedi e inclinata in avanti, di rado posizione inginocchiata e flessione delle ginocchia. Molto spesso può avere posizione seduta, posizione in piedi, posizione a libera scelta. Molto spesso può camminare fino a 50 m, oltre i 50 m per lunghi tratti, mai camminare su terreno accidentato, talvolta può salire le scale, mai salire su scale a pioli. Molto spesso l'uso delle due mani, equilibrio e stare in equilibrio. L'assicurato è considerato abile nella misura dell'esigibilità dal 10.02.2017.” (doc. 113, pag. 5 incarto LAINF) Alla chiusura del caso, con decisione formale del 27 settembre 2017, l’CO 1 ha riconosciuto all’assicurato una rendita di invalidità del 12% dal 1° maggio 2017 (doc. 150 incarto LAINF), confermata (art. 17 LPGA) con comunicazione del 26 maggio 2020 (doc. 202 incarto LAINF). 2.12.   Al precedente considerando sono state esposte le circostanze che giustificarono, all’epoca, l’assegnazione (e, nel 2020, la Al precedente considerando sono state esposte le circostanze che giustificarono, all’epoca, l’assegnazione (e, nel 2020, la conferma) di una rendita di invalidità del 12%. Si tratta ora di esaminare la situazione esistente fino al settembre 2021, momento in cui è stata emanata la decisione su opposizione impugnata. 2.12.1.   Il 6 novembre 2020 la __________ di __________ ha annunciato all’assicuratore LAINF una ricaduta dell’infortunio dell’ottobre 2015, determinata da dolori all’astragalo con incapacità lavorativa dell’assicurato a far tempo dall’8 ottobre 2020 (doc. 225 incarto LAINF). L’CO 1 ha riconosciuto un’inabilità lavorativa completa dall’8 ottobre 2020 al 9 febbraio 2021, versando le corrispondenti indennità giornaliere (doc. 282 incarto LAINF). L’amministrazione sostiene che, a decorrere dal 10 febbraio 2021, lo stato di salute dell’assicurato, oggetto dell’annuncio di ricaduta del novembre 2020, non sarebbe oggettivamente peggiorato in misura tale da determinare una modifica dell’esigibilità lavorativa stabilita a margine della valutazione del 10 febbraio 2017 del medico __________ (capacità lavorativa del 100% in attività idonee), di modo che non sarebbero parimenti dati i presupposti per aumentare la rendita d’invalidità in vigore dal 1° maggio 2017 (doc. 294 incarto LAINF). Secondo il TCA, quanto fatto valere dall’istituto resistente trova, in effetti, riscontro nella documentazione medica agli atti. 2.12.2.   Il 14 ottobre 2020 l’assicurato si è stato sottoposto ad un esame radiologico TC della caviglia sinistra (doc. 210 incarto LAINF) che ha messo in evidenza quanto segue: " Rispetto al precedente osserviamo maggior segni di consolidazione della nota frattura talare, che permane tuttavia incompleta. Conservate le rime articolari a sede tibio-fibulo-talare.” Il 18 gennaio 2021 l’assicurato si è stato sottoposto ad una risonanza magnetica (doc. E) che ha messo in evidenza quanto segue: " Focale lesione osteocondrale del dorso talare a sede centrale con edema osseo subcondrale associato. Regolari le strutture legamentarie e tendinee. Pregressa rima di frattura parzialmente visualizzabile nel contesto del talo.” Su richiesta del medico __________ (su richiesta dello specialista curante, dr. med. __________, specialista FMH in ortopedia e traumatologia; doc. 241 e 242 incarto LAINF), l’CO 1 ha acquisito agli atti la valutazione medica dell’8 febbraio 2021 (doc. 277 incarto LAINF) del Prof. dr. med. __________, il quale ha indicato quanto segue: " Diagnosen unspezifische Schmerzen Sinus tarsi links nach undislozierter Taluscorpusfraktur am 24.10.15 (…). Bildgebung MRI Rimed __________ vom 18.1.2021: Kein Erguss, keine Osteophyten, keine Zysten, keine Sklerose. Minimale Narbe in der Spongiosa, entlang der ehemaligen Fraktur. Diese ist komplett verheilt. Beurteilung und Prozedere</w:t>
      </w:r>
    </w:p>
    <w:p>
      <w:r>
        <w:rPr>
          <w:b/>
        </w:rPr>
        <w:t>E. 5</w:t>
      </w:r>
    </w:p>
    <w:p>
      <w:r>
        <w:t>Jahre nach dem Unfall ist klinisch und radiologisch eine ruhige Situation zu verzeichnen, ohne jegliche Hinweise auf entzündliche Aktivität oder Degeneration. Die Beschwerden lassen sich somit nicht objektivieren, somit entfällt auch eine logisch ableitbare Therapie. Prognostisch ist die Situation mit diesem Verlauf als sehr günstig einzuschätzen. Eine objektivierbare Einschränkung der Arbeitsfähigkeit besteht nicht ”) rispettivamente nell’apprezzamento medico del 13 luglio 2021 (doc. 280 incarto LAINF) del medico __________, dr. med. __________, (“ La valutazione del prof. dr. med. __________ che tiene chiaramente conto il confronto delle due RM, certamente non lascia dubbi circa l'avvenuta guarigione della frattura, e pur tanto, nonostante l'attività a carico della frattura, nulla vieta che vi possano essere dei dolori in tale sede come esito della frattura stessa, ma che non implichino necessariamente un peggioramento. A tal fine va fatto rilevare che può portare a motivazioni l'esigibilità lavorativa e l'uso dei plantari da parte dell'assicurato fin al 2017, sono rimasti immutati proprio a tutela della potenziale evoluzione della patologia che però nei fatti non è avvenuta. Non vi è quindi alcun sintomo di peggioramento né soprattutto non vi sono lesioni strumentalmente rilevanti che possono essere collegate con l'infortunio subito all'epoca e pertanto la situazione praticamente sovrapponibile. ”) -,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dal 10 febbraio 2021 è in grado di svolgere, a tempo pieno e con un rendimento completo, un'attività lavorativa compatibile con le limitazioni derivanti dal danno alla salute infortunistico indicate al termine della visita __________ del 10 febbraio 2017. Il TCA non ignora la svariata documentazione agli atti dai medici consultati privatamente dall’assicurato. Tuttavia essa non è a sollevare dubbi - nemmeno lievi - circa la fondatezza dell'approfondito parere espresso dal Prof. dr. med. __________ l’8 febbraio 2021 (doc. 277 incarto LAINF), confermato anche dal medico __________ nelle annotazioni del 16 e 25 marzo 2021 (doc. 261 e 262 incarto LAINF). A questo riguardo si rileva che gli svariati certificati medici agli atti (in particolare, quelli del dr. med. __________) sono antecedenti e non si esprimono in merito alla valutazione medica del Prof. dr. med. __________ (in particolare, con espresso riferimento alla capacità lavorativa residua). Anche il dr. med. __________ (che, giova ribadire, è specialista FMH in medicina interna e, quindi, non nella materia che qui ci occupa) nel certificato medico del 25 febbraio 2021 (doc. 276 incarto LAINF) non si esprime in merito alla capacità lavorativa residua dell’assicurato. In ogni caso esso è stato preso in considerazione nell’approfondito apprezzamento medico del 13 luglio 2021 (doc. 280 incarto LAINF) del medico __________, dr. med. __________ (che, giova ribadire, è specialista FMH in chirurgia e vanta un’ampia esperienza in materia di medicina assicurativa e infortunistica) con considera-zioni approfondite, motivate e convincenti (“ Ora se consideriamo attentamente la RM effettuata, e i reperti posti dal dr. med. Maggi circa la focale lesione osteocondrale del dorso talare in sede centrale con edema osseo subcondrale associato, rapportandolo in una zona diversa da quella del traumatismo infatti, se rapporta con la RM del 19.11.2015 l'area contusiva ossea della porzione anteriore articolare della tibia dell'os trigunum nel processo posteriore talare sono nei posti assolutamente diversi da quella che è la localizzazione citata. Questa lesione appare più di carattere degenerativo, quindi e soprattutto indipendente dal trauma subito. ”: cfr. doc. 280 incarto LAINF), dalle quali il TCA non ha motivo di scostarsi.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2.12.3.   Da ultimo, il TCA rileva che oggetto del presente giudizio è esclusivamente il danno alla salute alla caviglia sinistra riconducibile all’infortunio del 24 ottobre 2015. Dalle tavole processuali si evince che l’insorgente, oltre ai disturbi (infortunistici) alla caviglia sinistra, nel periodo in disamina (27 settembre 2017-28 settembre 2021) ha sviluppato pure delle problematiche in altre parti del corpo (ad esempio, spalla destra, femore acetabolo destro e gluteo destro: cfr. doc. G e H), che esulano dal presente giudizio (in particolare, con riferimento alla valutazione dalla capacità lavorativa residua e dell’esigibilità lavorativa dell’assicurato), non essendo in nesso di causalità naturale con l’infortunio in questione. Giova qui, infatti, ricordare che l’assicurazione contro gli infortuni tiene conto esclusivamente il danno alla salute causato dall’evento assicurato (diversamente dall’assicurazione per l’invalidità che, in quanto assicurazione finale, deve considerare il danno alla salute nella sua globalità; cfr. tra le tante, la STCA 35.2019.74 dell’11 marzo 2020, consid. 2.5 e la STCA 35.2021.81 del 7 febbraio 2022, consid. 2.2). Il TCA non ignora che nel corso del 2018 l’assicurato ha sviluppato anche un’ernia inguinale (doc. 285 e 286 incarto LAINF), operata nel 2019 (doc. 291 incarto LAINF), che, secon-do il suo patrocinatore, sarebbe in nesso causale naturale con l’infortunio del 24 ottobre 2015 (cfr. doc. 284 e doc. I). Tuttavia questa Corte non ha motivo di scostarsi dalle dettagliate, approfondite, motivate e convincenti considerazioni espresso dal medico __________ - che, giova ribadire, è specialista nella materia che qui ci occupa e vanta pure un’ampia esperienza in materia di medicina assicurativa e infortunistica - nell’annotazione del 24 settembre 2021 (doc. 292 incarto LAINF), giusta il quale i disturbi di ernia inguinale accusati a partire dal 2018 non possono essere messi in relazione causale probabile con l’evento del 24 ottobre 2015, in quanto “ la patogenesi di un ernia inguinale è nota in letteratura e non prevede la formazione di un ernia inguinale in conseguenza di un infortunio come quello avvenuto, in particolare non è giustificabile che una frattura di gamba o di TT o di piede possano causare accentuazione del torchio addominale nè tanto meno sfiancamento della parete addominale. ” (doc. 292 incarto LAINF). Tanto più che la valutazione dello specialista dell'CO 1 non è stata smentita da certificati medico-specialistici neppure in sede ricorsuale, ma solo attraverso il parere della rappresentante legale dell'assicurato che non trova fondamento in alcun rapporto medico, tantomeno specialistico, e non può quindi essere condivisa dal TCA. A questo riguardo si rileva che nella documentazione agli atti i medici curanti non si esprimono in merito all’eziologia dell’ernia inguinale rispettivamente in merito alla valutazione operata a tal riguardo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 del 26 luglio 2021, consid. 2.6.5). 2.12.4.   In simili circostanze, le critiche ricorsuali sollevate dal patrocinatore del ricorrente all’operato dell’amministrazione non possono essere condivise e devono essere respinte. Ora, posto che le condizioni di salute infortunistiche non hanno subito oggettive e significative modifiche rispetto a quanto constatato al momento della concessione della rendita e che anche l’esigibilità lavorativa è rimasta la medesima (per il periodo successivo al 10 febbraio 2021), non sono dati i presupposti per aumentare la rendita d’invalidità in vigore per la via della revisione ex art. 17 cpv. 1 LPGA. 2.13.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ai mezzi di prova “ documenti, testi, perizia ed ogni altro mezzo di prova ammessi ” richiesti - in modo generico - dal patrocinatore dell’insorgente: cfr. doc. I), ritenendo la situazione sufficientemente chiarita. L'incarto della CO 1 è stato versato agli atti con la risposta di causa. Sulla scorta delle considerazioni che precedono il gravame deve dunque essere respinto e la decisione su opposizione avversata confermata.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28 ottobre 2021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8C_265/2021 del 21 luglio 2021 e STF 9C_394/2021 del 3 gennaio 2022. 2.15.   Deve ancora essere verificato se il ricorrente può essere posto al beneficio dell’assistenza giudiziaria con il gratuito patrocinio dell’avv. RA 1 (cfr. doc. I, pag. 7).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Ora, va rilevato che per quanto riguarda la situazione medico-valetudinaria dell'assicurato, sul quale era focalizzato il gravame, alla luce della giurisprudenza pubblicata sia nella Raccolta ufficiale che nel sito web della Confederazione, rispettivamente in quello del Cantone Ticino (riportata in sentenza), doveva apparire chiaro che il rischio di perdere il processo era palesemente maggiore rispetto alle prospettive di un successo, ragione per la quale il requisito della probabilità di esito favorevole va giudicato inadempiuto. In queste condizioni, non essendo adempiuto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