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35.2021.79 vom 31. Januar 2022</w:t>
      </w:r>
    </w:p>
    <w:p>
      <w:r>
        <w:t>TI Tribunale d'appello, 2022-01-31, IT</w:t>
      </w:r>
    </w:p>
    <w:p>
      <w:r>
        <w:rPr>
          <w:b/>
        </w:rPr>
        <w:t xml:space="preserve">Quelle: </w:t>
      </w:r>
      <w:r>
        <w:t>https://mcp.opencaselaw.ch/entscheid/ti_gerichte_35.2021.79</w:t>
      </w:r>
    </w:p>
    <w:p>
      <w:r>
        <w:t>FR: TI_GERICHTE 35.2021.79 du 31 janvier 2022</w:t>
      </w:r>
    </w:p>
    <w:p>
      <w:r>
        <w:t>IT: TI_GERICHTE 35.2021.79 del 31 gennaio 2022</w:t>
      </w:r>
    </w:p>
    <w:p>
      <w:pPr>
        <w:pStyle w:val="Heading2"/>
      </w:pPr>
      <w:r>
        <w:t>Regeste</w:t>
      </w:r>
    </w:p>
    <w:p>
      <w:r>
        <w:t>Discusso il diritto a rendita d'invalidità. Preliminarmente discussa questione di sapere se l'assicuratore fosse responsabile della problematica psichica: negata adeguatezza del nesso causale con l'infortunio (lesioni alle mani)</w:t>
      </w:r>
    </w:p>
    <w:p>
      <w:pPr>
        <w:pStyle w:val="Heading2"/>
      </w:pPr>
      <w:r>
        <w:t>Erwägungen</w:t>
      </w:r>
    </w:p>
    <w:p>
      <w:r>
        <w:rPr>
          <w:b/>
        </w:rPr>
        <w:t>E. 20</w:t>
      </w:r>
    </w:p>
    <w:p>
      <w:r>
        <w:t>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Neppure il criterio del decorso sfavorevole della cura e le complicazioni rilevanti intervenute, risulta soddisfatto. In merito è utile sottolineare che dalla cura medica e da notevoli disturbi non si può dedurre un decorso sfavorevole e/o delle complicazioni rilevanti. Sono inoltre necessarie delle circostanze particolari che hanno pregiudicato la guarigione, in concreto non ravvisabili. Sempre in questo contesto, va segnalato che, conformemente alla giurisprudenza federale, il fatto che, nonostante regolari terapie, l’assicurato lamenti ancora dolori e presenti ancora un’inabilità lavorativa, non basta per riconoscere questo criterio (cfr. STF 8C_613/2019 del 17 settembre 2020 consid. 6.4.3; 8C_249/2018 del 12 marzo 2019 consid. 5.2.5 e i riferimenti). In questo senso, il TF ha negato la realizzazione del criterio anche nel caso di un decorso indiscutibilmente protratto (cfr. STF 8C_402/2011 del 10 febbraio 2012 consid. 5.4), ad esempio nel caso di un assicurato la cui ricostruzione del dorso della mano aveva necessitato di ben cinque interventi chirurgici (cfr. STF 8C_175/2010 del 14 febbraio 2011 consid. 5.4 in fine). A prescindere dal fatto che, secondo la giurisprudenza, la persistenza dei dolori di per sé non basta per soddisfare il criterio in discussione, nella presente fattispecie va tenuto conto del fatto che la sintomatologia algica è influenzata da un’inadeguata elaborazione psichica del sinistro da parte dell'insorgente, aspetto di cui occorre fare astrazione nella valutazione dell’adeguatezza giusta la DTF 115 V 133. Il TCA non può ritenere realizzato neanche il criterio del grado e della durata dell'incapacità lavorativa dovuta ai soli esiti fisici dell'infortunio assicurato. Secondo la giurisprudenza federale (cfr., da ultimo, la STF 8C_547/2020 del 1° marzo 2021 consid. 5.1 e riferimenti ivi citati, riguardante una fattispecie in cui dal momento dell'infortunio alla stabilizzazione del caso erano trascorsi “soltanto” due anni e quattro mesi), il criterio in questione è adempiuto in presenza di una incapacità lavorativa totale perdurata quasi tre anni (" fast drei Jahren"/"rund dreijährige durchgehende Arbeitsunfähigkeit "). D’altra parte, sempre secondo il TF, tale criterio non è soddisfatto allorquando l’assicurato è in grado, anche dopo un certo lasso di tempo, di svolgere a tempo pieno un’attività adeguata ai postumi infortunistici che presenta (cfr. STF 8C_209/2020 del 18 gennaio 2021 consid. 5.2.2 e il riferimento ivi citato). Nella concreta evenienza, a margine della visita __________ di controllo del 7 dicembre 2018, le condizioni di salute infortunistiche dell’insorgente sono state dichiarate ormai stabilizzate. In ragione dell’esistenza di una “certa discrepanza” tra disturbi denunciati e lo stato oggettivabile a livello dell’estremità superiore sinistra, il dott. __________ ha disposto l’esecuzione di una valutazione EFL per determinare la reale capacità lavorativa (doc. 188). Dal rapporto 14 febbraio 2019 della Clinica __________ è emersa l’esigibilità a svolgere delle attività leggere a mediamente pesanti (cfr. doc. 206). Stante ciò, occorre ammettere che, a distanza di circa 2 anni e mezzo dall’infortunio (quindi prima dei quasi tre anni considerati dalla giurisprudenza federale) , raggiunta la stabilizzazione dello stato di salute, RI 1 era in grado di esercitare un’attività sostitutiva adeguata in misura completa. In queste condizioni, può rimanere indeciso se sia o meno soddisfatto il criterio dei disturbi fisici persistenti, poiché da solo questo criterio - in presenza di un infortunio di grado medio-medio -, non potrebbero comunque giustificare l’adeguatezza del nesso causale (cfr. RDAT 2003 II n. 67 p. 276, U 164/02 consid. 4.7; SZS/RSAS 2001 p. 431, U 187/95). Al riguardo, va precisato che, vista la sovrapposizione di una problematica psichica che ha amplificato i dolori e le limitazioni nell’uso della mano denunciati dall’assicurato, il criterio in questione non sarebbe in ogni caso da considerare adempiuto con una particolare intensità. Alla luce di quanto appena esposto occorre concludere che le turbe psichiche di cui soffre l’assicurato non costituiscono una conseguenza adeguata dell’evento infortunistico occorso il 4 luglio 2016. L’istituto resistente era di conseguenza legittimato a negare la propria responsabilità in merito. Stante ciò, è a ragione che l’CO 1 ha valutato il diritto alle prestazioni di lunga durata, in particolare quello alla rendita d’invalidità, facendo astrazione dalla problematica psichica.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concreto, è contestata la valutazione della capacità/esigibilità lavorativa. Dalle carte processuali emerge che, da un profilo medico, la decisione su opposizione impugnata mediante la quale l’amministrazione ha rifiutato l’assegnazione di una rendita d’invalidità, si fonda essenzialmente sulla valutazione espressa dal suo medico fiduciario. In effetti, con apprezzamento del 26 febbraio 2019 - a valere quale “ conclusione della visita __________ del 07.12.2018 con valutazione dell’esigibilità al lavoro ed IMI considerando la valutazione EFL recentemente eseguita ” -, dopo aver sottolineato che “l’attività di metalcostruttore viene ritenuta non più esigibile in misura completa”, il dott. __________ ha dichiarato che l’assicurato è da considerare “abile in misura completa con rendimento completo e senza pause supplementari” in un lavoro che rispecchi l’esigibilità espressa. Egli ha quindi così descritto le limitazioni funzionali dipendenti dai postumi somatici residuali dell’infortunio del luglio 2016: " (…) Sollevare e portare: l’assicurato è in grado di sollevare pesi leggeri fino a 10 kg fino all’altezza dei fianchi con le due braccia spesso, pesi medi da 10 a 25 kg talvolta, pesanti da 25 a 45 kg di rado. molto pesanti mai. È in grado di sollevare oltre l’altezza del petto pesi fino a 5 kg e oltre 5 kg spesso con le limitazioni sopra esposte. Maneggio di attrezzi: l’assicurato è in grado di maneggiare attrezzi leggeri e di precisione e medi talvolta, attrezzi pesanti di rado, molto pesanti mai. La rotazione della mano sinistra è possibile talvolta. Posizione e mobilità: l’assicurato è in grado di eseguire lavori sopra la testa, di rotazione del busto e posizione seduta e inclinata e in avanti, posizione in piedi e inclinata in avanti, inginocchiata con flessione delle ginocchia spesso. Posizione di lunga durata: l’assicurato è in grado di mantenere la posizione seduta e la posizione in piedi spesso, cosi come la posizione a libera scelta. Spostamenti: l’assicurato è in grado di camminare anche per lunghi tratti e su terreno accidentato molto spesso, di salire le scale e salire le scale a pioli molto spesso. L’uso delle due mani è possibile a condizione, equilibrio e stare in equilibrio possibile.” (doc. 208, p. 2) Così come già indicato in precedenza, nel febbraio 2019, il ricorrente è stato sottoposto a una valutazione EFL. Dal relativo referto (doc. 206) risulta che, a fronte dell’esistenza di un’importante amplificazione dei sintomi accompagnata da diverse incongruenze (“Discrepanza tra il risparmio dichiarato e dimostrato dell’arto superiore sinistro coinvolto rispetto alla mancanza di minima atrofia dell’arto superiore sinistro. Durante il test “lavoro sopra l’altezza delle spalle” abbassa la spalla sinistra per la prima volta dopo 1’31. A 2’34 fallisce il test. Durante i 2’34 l’assicurato sostiene la mano sinistra con la mano destra. Con le mani non esegue il “lavoretto” sopra l’altezza delle spalle. Non si evidenziano limiti funzionali/movimenti compensatori e non si evidenzia minima atrofia degli arti superiori. La forza della mano sinistra è 7 kg, misurata con il Jamar. Non si evidenzia minima atrofia muscolare alla mano sinistra, neanche alla muscolatura intrinseca tale da giustificare questa ridotta forza muscolare.”), i risultati dei test “… devono essere interpretati con prudenza e si deve dedurre che, con un maggior impegno (qui non si tratta di un atteggiamento cosciente, quindi la mancanza di impegno non coincide con la simulazione), le prestazioni potrebbero essere migliori. In presenza di un’amplificazione di sintomi di grado elevato fa stato la valutazione medico-teorica della capacità lavorativa .” (il corsivo è del redattore). Da un punto di vista medico-teorico, il medico EFL ha quindi ritenuto che l’insorgente è in grado di “… svolgere qualunque lavoro con la mano destra in qualunque posizione e con qualunque livello di forza richiesta. L’assicurato non può utilizzare la mano sinistra per lavori pesanti a mediamente pesanti o lavori di forza. Non può tenere con la mano sinistra strumenti vibranti come trapani, avvitatori, martelli demolitori e altri grossi strumenti a motore elettrico che richiedano una presa con forza con entrambe le mani. Non può svolgere con la mano sinistra lavori molto fini e di grande precisione, che richiedano l’uso delle 5 dita e una sensibilità intatta. L’assicurato può svolgere qualunque lavoro amministrativo e lavoro d’ufficio con qualche limitazione riguardo all’uso della tastiera (non può scrivere a 10 dita vista la parziale amputazione della falange distale del 3° dito della mano sinistra). Non vi sono limitazioni riguardo alle posizioni del tronco, alla posizione seduta o eretta statica, agli spostamenti e alla guida di autoveicoli.”. In conclusione, il dott. __________ ha dichiarato l’assicurato inabile a svolgere la sua precedente professione di metalcostruttore ma in grado di esercitare delle “attività leggere a mediamente pesanti”. Con la propria impugnativa, l’insorgente contesta la correttezza dell’apprezzamento dell’esigibilità lavorativa espresso dal dott. __________, reo in sostanza di non aver tenuto debitamente conto del suo effettivo stato di salute (cfr. doc. I, doc. V e doc. IX). 2.4.4.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2.4.5. Chiamato a pronunciarsi nella concreta evenienza, tutto ben considerato, il TCA ritiene di poter validamente far capo alla valutazione dell’esigibilità lavorativa espressa dal medico fiduciario dell’amministrazione, specialista nella materia che qui interessa (in questo contesto, va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fondata in larga misura sulle risultanze della valutazione EFL del febbraio 2019, in base alla quale, nonostante i postumi residuali interessanti l’estremità superiore sinistra, l’assicurato sarebbe ancora in grado di svolgere, a tempo pieno e con un rendimento completo, un’attività lavorativa adeguata. D’altro canto, questa Corte constata che agli atti non figurano pareri specialistici divergenti, attestanti dunque l’esistenza di un’incapacità lavorativa anche in attività confacenti, suscettibili di generare dei dubbi circa la correttezza della valutazione dell’esigibilità enunciata dal dott. __________ (e dal medico EFL). L’esistenza di una piena abilità lavorativa in attività sostitutive adeguate risulta d’altronde plausibile anche alla luce dei precedenti giurisprudenziali riportati qui di seguito, riguardanti assicurati che lamentavano limitazioni nell’utilizzo degli arti superiori.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(con riferimento alle pronunzie federali U 200/02 e 8C_260/2011, succitate)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Alla luce di quanto precede, richiamate in particolare le succitate pronunzie U 449/00, U 200/02 e 35.2017.10 , va ritenuto dimostrato con un sufficiente grado di verosimiglianza che il ricorrente sarebbe in grado di esercitare, a tempo pieno e con un rendimento completo, un’attività lavorativa confacente alle limitazioni dipendenti dal danno infortunistico organico riguardante la mano sinistra. Con riferimento all’interrogativo sollevato dal ricorrente (doc. V, p. 2: “… quale datore di lavoro si prenderebbe la briga di assumere una persona che ha costantemente male alla mano?”), è utile segnalare che, in una sentenza 8C_971/2008 del 23 marzo 2009, il TF ha stabilito che anche per gli assicurati funzionalmente monchi di un braccio, esiste un mercato del lavoro sufficientemente ampio.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(in questo stesso senso, cfr. le STCA 35.2020.72 dell’8 marzo 2021 consid. 2.4.4, 35.2021.4 del 26 luglio 2021 consid. 2.5.3, 35.2021.44 del 16 agosto 2021 consid. 2.6 e 35.2021.9 del 20 settembre 2021 consid. 2.3.3). 2.4.6.   Trattandosi della valutazione delle conseguenze economiche del danno alla salute infortunistico, occorre constatare che l’insorgente non ha sollevato alcuna obiezione a proposito delle modalità con le quali l’istituto assicuratore resistente ha determinato i redditi da raffrontare (cfr. doc. I, doc. V e doc. IX). Stante ciò, il TCA può fare proprio tanto il reddito da valido (cfr. doc. 357: fr. 74'654 ) che quello da invalido (cfr. doc. 357: fr. 72'235 ) ritenuti dall’amministrazione per fissare il grado dell’invalidità. Ora, confrontando i fr. 72'235 al reddito che il ricorrente avrebbe potuto conseguire senza il danno alla salute, e cioè fr. 74'654, risulta una perdita di guadagno del 3.24%, arrotondata al 3% , insufficiente per fondare il diritto a una rendita d’invalidità LAINF. La decisione su opposizione, mediante la quale è stata negata l’assegnazione di una rendita, deve quindi essere confermata.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w:t>
      </w:r>
    </w:p>
    <w:p>
      <w:r>
        <w:rPr>
          <w:b/>
        </w:rPr>
        <w:t>E. 21</w:t>
      </w:r>
    </w:p>
    <w:p>
      <w:r>
        <w:t>giugno 2019 si applica il diritto anteriore. In concreto, il ricorso è del 6 ottobre 2021 per cui si applica la nuova disposizione legale. Trattandosi di una controversia relativa a prestazioni LAINF, il legislatore non ha previsto di prelevare le spese (sul tema, cfr. STF 8C_265/2021 del 21 luglio 2021;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