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35.2021.77 vom 14. Februar 2022</w:t>
      </w:r>
    </w:p>
    <w:p>
      <w:r>
        <w:t>TI Tribunale d'appello, 2022-02-14, IT</w:t>
      </w:r>
    </w:p>
    <w:p>
      <w:r>
        <w:rPr>
          <w:b/>
        </w:rPr>
        <w:t xml:space="preserve">Quelle: </w:t>
      </w:r>
      <w:r>
        <w:t>https://mcp.opencaselaw.ch/entscheid/ti_gerichte_35.2021.77</w:t>
      </w:r>
    </w:p>
    <w:p>
      <w:r>
        <w:t>FR: TI_GERICHTE 35.2021.77 du 14 février 2022</w:t>
      </w:r>
    </w:p>
    <w:p>
      <w:r>
        <w:t>IT: TI_GERICHTE 35.2021.77 del 14 febbraio 2022</w:t>
      </w:r>
    </w:p>
    <w:p>
      <w:pPr>
        <w:pStyle w:val="Heading2"/>
      </w:pPr>
      <w:r>
        <w:t>Regeste</w:t>
      </w:r>
    </w:p>
    <w:p>
      <w:r>
        <w:t>Discusso se l'amm. potesse dichiarare estinto il proprio obbligo a prestazioni. Rinvio atti all'assicuratore per perizia esterna a fronte della presenza di pareri specialistici divergenti, atti a creare dei dubbi circa la correttezza della valutazione del medico fiduciario</w:t>
      </w:r>
    </w:p>
    <w:p>
      <w:pPr>
        <w:pStyle w:val="Heading2"/>
      </w:pPr>
      <w:r>
        <w:t>Erwägungen</w:t>
      </w:r>
    </w:p>
    <w:p>
      <w:r>
        <w:rPr>
          <w:b/>
        </w:rPr>
        <w:t>E. 21</w:t>
      </w:r>
    </w:p>
    <w:p>
      <w:r>
        <w:t>giugno 2019 si applica il diritto anteriore.</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Secondo l’art. 6 cpv. 1 LAINF, per quanto non previsto altrimenti dalla legge, le prestazioni assicurative sono effettuate in caso d’infortuni professionali, d’infortuni non professionali e di malattie professionali. 2.3.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2.4.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 Schweizerisches Unfallversicherungsrecht, p. 469; U. Meyer-Blaser , Die Zusammenarbeit von Richter und Arzt in der Sozialversicherung, in Bollettino dei medici svizzeri 71/1990, p. 1093).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2.6.   Nel caso di specie, dalle carte processuali emerge che per chiarire i fatti giuridicamente rilevanti, nel corso del mese di luglio 2020, l’assicuratore convenuto ha disposto l’esecuzione di una perizia a cura del dott. __________, spec. FMH in chirurgia. Contrariamente a quanto si sostiene con la risposta di causa (cfr. doc. V, p. 8), il dott. __________ non può essere considerato un perito amministrativo (esterno) ai sensi dell’art. 44 LPGA. Non risulta in effetti che l’assicuratore abbia ossequiato la procedura prevista da quella disposizione. Lo scritto del 23 luglio 2020 (doc. 137), diversamente da quello del 23 giugno 2020 che riguardava un incarico peritale che si sarebbe voluto conferire all’__________ (doc. 127), altro non è che una lettera di convocazione a una visita medica di controllo (“ Per valutare il quadro clinico, desideriamo sottoporla a una visita presso un nostro medico di fiducia ”). All’assicurato non è stato concesso né di far valere dei motivi di ricusa nei confronti del medico designato né di pronunciarsi sul catalogo dei quesiti da sottoporre a quest’ultimo (di fatto non risulta nemmeno che gliene sia stato sottoposto uno). Fatta questa premessa, il TCA constata che in data 27 luglio 2020 RI 1 è stato visitato personalmente dal fiduciario dell’CO 1. Dal relativo referto si evince che il dott. __________ ha formulato la diagnosi di stato dopo evento del 15 dicembre 2019 in occasione del quale l’assicurato ha riportato uno strappo muscolare alla gamba destra gemello mediale ventre superficiale con decorso complicato da insorgenza di trombosi venosa profonda della gemellare mediale destra conseguentemente trattata con avvenuta ricanalizzazione della vena gemellare mediale sinistra, non trombi ipoecogeni, lieve ispessimento della parete venosa tuttora presente. Permangono algie alla stazione eretta prolungata e alla deambulazione sulle punte. Vi è la necessità di portare calze elastiche (gambaletto). In merito alla causalità, egli ha rilevato che “il caso rientra nel contesto dell’articolo 6.2 quale lesione parificata ad infortunio, strappo muscolare. La comparsa di trombosi venosa profonda a livello della gemellare mediale destra è conseguente alla rottura del muscolo gemello mediale destro ventre superficiale. La terapia è tuttora in atto e si apprezza un netto miglioramento della situazione.”. Dal profilo dell’ulteriore procedere terapeutico, è stata consigliata la prosecuzione della fisioterapia e delle restanti cure, precisato che, nel caso in cui l’esame eco-doppler (programmato per il 28 luglio 2020) avesse evidenziato una situazione stabile o migliorata, il ricorrente avrebbe potuto “… incrementare la terapia fisiatrica anche con rinforzo e allungamento muscolare.”. Trattandosi infine della capacità lavorativa, l’assicurato è stato dichiarato “… abile al lavoro in misura del 50% a partire dal 1.8.2020 e abile al lavoro in misura totale a partire dal 1.9.2020. Dopo questa scadenza, il caso sarà da considerare chiuso a tutti gli effetti.” (doc. 149). Dagli atti di causa si evince che, nel prosieguo, l’insorgente si è sottoposto a regolari controlli presso medici specialisti di sua fiducia. In data 28 luglio 2020, egli è stato sottoposto a eco-doppler venoso degli arti inferiori che ha segnatamente mostrato, alla gamba destra, una “trombosi non recente del tratto medio, per le caratteristiche iperecogene del materiale trombotico, della v. gemellare mediale.” (allegato al doc. 175). Un nuovo esame eco-doppler ha avuto luogo il 10 agosto 2020 presso l’Ospedale __________ di __________. Il dott. __________ ha refertato a destra una “trombosi non recente del tratto medio vena gemellare mediale” e ha consigliato l’assunzione di una terapia anti-coagulante (allegato al doc. 176). Il 2 novembre 2020, RI 1 ha consultato il dott. __________, spec. in chirurgia vascolare a __________. Dal suo relativo referto risulta che l’esame eco-doppler dell’arto inferiore destro ha mostrato la presenza di “… esiti trombotici parietali stratificati di una vena gemellare mediale; concomita reflusso da devalvolazione della vena poplitea destra, di entità emodinamicamente rilevante. Si rileva inoltre incomprimibilità della vena piccola safena destra dall’origine al III medio di gamba, per la presenza di materiale trombotico endoluminale ad ecogenicità mista (CUS al 30%), …”. Lo specialista ha quindi consigliato di proseguire la terapia anticoagulante in corso e di mantenere, durante il giorno, un’elastocompressione (allegato al doc. 182). Il 6 novembre 2020 ha avuto luogo una consultazione presso il dott. __________, spec. in fisiatria a __________. All’esame clinico, egli ha riscontrato un dolore alla digitopressione del gemello mediale in corrispondenza della giunzione miotendinea destra, una circonferenza della gamba destra inferiore di 2 cm rispetto alla controlaterale, nonché dei polsi presenti e validi bilateralmente. Il dott. __________ ha diagnosticato uno strappo muscolare di gamba complicato da una trombosi venosa profonda dovuta al trauma con ematoma, segnalando che, a quel momento, la presa a carico riabilitativa era complicata dalla trombosi in trattamento con anticoagulanti (allegato al doc. 186). Il 14 dicembre 2020, il ricorrente è stato visitato dal dott. __________, spec. FMH in chirurgia ortopedica e traumatologia, medico aggiunto presso l’Ospedale __________ di __________. All’esame clinico, il dott. __________ ha refertato “non tumefazione alla giunzione miotendinea, non edema, deficit funzionale alla posizione sulle punte, deficit evidente di forza isometrica, test sulle punte impossibile, test balzo impossibile, dolore locale alla digitopressione a livello del terzo medio. Evidente ipoatrofia della gamba.” All’esame ecografico, egli ha oggettivato degli esiti di distrazione di III. grado del muscolo gemello mediale superficiale. Lo specialista ha quindi posto la diagnosi di esiti di lesione muscolare a livello del gemello mediale della gamba non ancora guarita e ha attestato una totale inabilità lavorativa per 30 giorni (allegato al doc. 190). Agli atti figura inoltre la cartella clinica del dott. __________, relativa a una visita che si è tenuta il 4 agosto 2021, dalla quale emerge che, a quel momento, non vi erano più segni di trombosi venosa profonda in atto (in questo senso, si veda pure il referto afferente all’esame di eco-doppler compiuto il 29 luglio 2021 – allegati al doc. 199). Con la decisione formale del 30 novembre 2020, l’CO 1 ha posto termine al versamento delle prestazioni assicurative a far tempo dal 1° settembre 2020, sostenendo che, in base al parere del dott. __________, i disturbi interessanti la gamba destra non avrebbero più costituito una conseguenza naturale dell’evento traumatico del mese di dicembre 2019 (doc. 188). Con la decisione su opposizione impugnata, l’assicuratore ha precisato che lo status quo sine vel ante è stato raggiunto al più tardi il 31 agosto 2020 (doc. 201).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Attentamente vagliato l’insieme della documentazione a sua disposizione , questo Tribunale non ritiene di poter confermare la decisione impugnata, mediante la quale l’CO 1 ha posto termine dal 1° settembre 2020 alle proprie prestazioni dipendenti dal sinistro del 15 dicembre 2019. Preliminarmente, va rilevato che, non essendo la decisione impugnata fondata su una perizia esterna (cfr. supra , consid. 2.6.), può trovare applicazione la giurisprudenza di cui alla DTF 135 V 465, secondo la quale dei lievi dubbi circa l’affidabilità di un rapporto medico bastano per potersene discostare (cfr. supra , consid. 2.7.). Ora, al referto del dott. __________, sul quale si fonda appunto la decisione su opposizione in esame, non può essere riconosciuto un valore probatorio sufficiente per concludere, con la necessaria tranquillità, che al più tardi alla fine del mese di agosto 2020 le conseguenze dell’evento infortunistico assicurato erano definitivamente guarite. In effetti, agli atti esistono certificazioni specialistiche successive alla visita fiduciaria di controllo dalle quali sembrerebbe emergere che lo status quo ante non era ancora stato ritrovato il 1° settembre 2020, tanto dal profilo angiologico quanto da quello muscolare, e che pertanto appaiono atte a generare dei dubbi, perlomeno lievi, circa la correttezza delle conclusioni a cui è pervenuto il dott. __________. In particolare, a margine della consultazione del 2 novembre 2020, il chirurgo vascolare dott. __________ ha attestato che l’insorgente era ancora affetto da “trombosi della vena piccola safena destra e trombosi venosa profonda omolaterale ricanalizzata. Residua SPF (sindrome post flebitica) da devalvolazione poplitea, con reflusso venoso profondo ed edema di gamba destra cronico”. A suo avviso, la condizione patologica descritta costituiva una “… diretta conseguenza della trombosi occorsa, conseguente alla lesione muscolare avvenuta il 15/12/2019.” (allegato al doc. 182). Da parte sua, il chirurgo ortopedico dott. __________, ancora in occasione del consulto del 14 dicembre 2020, ha refertato la persistenza di esiti da distrazione di III. grado del muscolo gemello mediale superficiale, formulando la diagnosi di “esiti di lesione muscolare gemello mediale gamba non ancora guarita ” (allegato al doc. 190 – il corsivo è del redattore). In sede di risposta di causa, l’amministrazione ha evocato il sospetto che l’assicurato sia affetto da trombofilia, “ovvero la tendenza all’ipercoagulazione, ossia la propensione di alcune persone a formale coaguli di sanguigni che possono essere disseminati in varie parti dell’organismo, come le vene profonde degli arti inferiori (trombosi venosa profonda o TVB)”, ciò che spiegherebbe la ragione per la quale “… i medici curanti e/o i periti di parte hanno riscontrato del materiale trombotico negli esami successivi all’avvenuta guarigione accertata dal medico specialista”. In questo stesso contesto, l’assicuratore segnala pure che, nel suo apprezzamento del 29 aprile 2020, il fiduciario dott. __________, spec. FMH in medicina interna generale, aveva auspicato un accertamento in tal senso (allegato al doc. 87: “ Thrombophilie-Abklärung ”), che di fatto non è mai stato effettuato. Al riguardo, il TCA rileva innanzitutto di non poter seguire l’istituto assicuratore laddove fa valere che “…, in definitiva, a mente del Dr. med. __________ il ricorrente deve essere considerato un soggetto “trombofilico” …” (doc. XI, p. 3), poiché ciò non è quanto risulta dall’apprezzamento citato in precedenza. D’altro canto, sempre secondo questo Tribunale, non è parimenti corretto sostenere che siccome i curanti non hanno disposto accertamenti volti a verificare l’esistenza di una trombofilia, vi sarebbe la “concreta possibilità” che RI 1 ne sia affetto (cfr. doc. V, p. 7). In questo senso, non può essere ignorato che, in virtù dell’art. 43 LPGA, l’accertamento dei fatti giuridicamente importanti è compito dell’assicuratore LAINF. Inoltre, conformemente a una costante giurisprudenza, se l’assicuratore vuole liberarsi dal proprio obbligo a prestazioni, è tenuto a dimostrare che l’evento assicurato non gioca più alcun ruolo causale per rapporto ai disturbi denunciati dalla persona assicurata, avendo quest’ultima ritrovato lo status quo ante oppure raggiunto lo status quo sine . In questo contesto, è utile ricordare che , conformemente alla giurisprudenza, affinché il nesso di causalità naturale sia dato, non è necessario che l’infortunio rappresenti la causa unica o immediata del danno: è sufficiente che il sinistro, associato eventualmente ad altri fattori, abbia provocato il danno - fisico o psichico - alla salute, ovvero che si presenti come la conditio sine qua non di quest’ultimo (cfr. J.-M. Frésard/M. Moser-Szeless, L'assurance-accidents obligatoire, in: Schweizerisches Bundesverwaltungsrecht [SBVR], 2a ed., Basilea/Ginevra/Monaco 2007, p. 865 nota 79; vedi pure la STCA 35.2018.55 del 14 febbraio 2019 consid. 2.11.). Alla luce di quanto precede, considerata l’esistenza di dubbi, perlomeno lievi, circa la correttezza della valutazione enunciata dal dott. __________, questa Corte ritiene, per maggiore tranquillità, che non si possa prescindere dal procedere a un approfondimento peritale (in questo senso, si veda la STF 8C_812/2015 del 20 luglio 2016 e la 8C_783/2018 del 4 aprile 2019).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Nella presente fattispecie, il TCA ritiene che siano soddisfatti i presupposti per un rinvio degli atti all’istituto convenuto (cfr. STF 8C_59/2011 del 10 agosto 2011 e DTF 135 V 465). In effetti, l’CO 1 ha fondato la decisione impugnata sul solo parere di un suo medico fiduciario (cfr. supra , consid. 2.6.). P er le ragioni già esposte al considerando 2.8. , si giustifica pertanto l’annullamento della decisione su opposizione impugnata e il rinvio degli atti all’assicuratore resistente affinché disponga una perizia (idealmente in materia di angiologia e di chirurgia ortopedica) esterna (art. 44 LPGA) volta a chiarire se, dopo il 30 agosto 2020, l’assicurato presentava ancora dei postumi dell’evento del dicembre 2019 che hanno necessitato di cure mediche, rispettivamente provocato un’incapacità lavorativa. In seguito, facendo capo alle risultanze dell’accertamento esperito, l’amministrazione si pronuncerà di nuovo in merito al diritto alle prestazioni dal profilo materiale e temporale, precisato che il ricorrente limita le proprie pretese alla fine del mese di luglio 2021, momento in cui, a suo dire, sarebbe intervenuta la sua completa guarigione. 2.10.   Considerato l’esito del ricorso (il rinvio con esito aperto equivale a piena vittoria, cfr., da ultimo, STF 8C_859/2018 del 26 novembre 2018 consid. 5 con rinvio a DTF 137 V 210 consid. 7.1 p. 271 e riferimento), l’CO 1 verserà all’insorgente, rappresentato da un sindacato, l’importo fr. 1'000 (IVA inclusa) a titolo d’indennità per ripetibili.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 21 giugno 2019 si applica il diritto anteriore. In concreto, il ricorso è del 7 ottobre 2021 per cui si applica la nuova disposizione legale. Trattandosi di prestazioni LAINF, il legislatore non ha previsto di prelevare le spese (sul tema, cfr.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