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35.2021.66 vom 17. Januar 2022</w:t>
      </w:r>
    </w:p>
    <w:p>
      <w:r>
        <w:t>TI Tribunale d'appello, 2022-01-17, IT</w:t>
      </w:r>
    </w:p>
    <w:p>
      <w:r>
        <w:rPr>
          <w:b/>
        </w:rPr>
        <w:t xml:space="preserve">Quelle: </w:t>
      </w:r>
      <w:r>
        <w:t>https://mcp.opencaselaw.ch/entscheid/ti_gerichte_35.2021.66_d20220117</w:t>
      </w:r>
    </w:p>
    <w:p>
      <w:r>
        <w:t>FR: TI_GERICHTE 35.2021.66 du 17 janvier 2022</w:t>
      </w:r>
    </w:p>
    <w:p>
      <w:r>
        <w:t>IT: TI_GERICHTE 35.2021.66 del 17 gennaio 2022</w:t>
      </w:r>
    </w:p>
    <w:p>
      <w:pPr>
        <w:pStyle w:val="Heading2"/>
      </w:pPr>
      <w:r>
        <w:t>Regeste</w:t>
      </w:r>
    </w:p>
    <w:p>
      <w:r>
        <w:t>Sospensione prestazioni confermata. Negati nesso di causalità naturale (per ginocchio sinistro e anca destra) e causalità adeguata (per sindrome algica poli-distrettuale di pertinenza osteo-musclare)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2019 si applica il diritto anteriore. In concreto, il ricorso è del 2 settembre 2021 per cui si applica la nuova disposizione legale. Trattandosi di una controversia relativa a prestazioni LAINF, il legislatore non ha previsto di prelevare le spese (cfr. STCA 35.2021.9 del 20 settembre 2021 consid. 2.12; STCA 35.2021.58 del 18 ottobre 2021 consid. 2.12; STCA 35.2021.74 del 29 novembre 2021 consid. 2.16). Sul tema cfr. anche STF 8C_265/2021 del 21 luglio 2021 e STF 9C_394/2021 del 3 gennaio 2022.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