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35.2021.62 vom 8. November 2021</w:t>
      </w:r>
    </w:p>
    <w:p>
      <w:r>
        <w:t>TI Tribunale d'appello, 2021-11-08, IT</w:t>
      </w:r>
    </w:p>
    <w:p>
      <w:r>
        <w:rPr>
          <w:b/>
        </w:rPr>
        <w:t xml:space="preserve">Quelle: </w:t>
      </w:r>
      <w:r>
        <w:t>https://mcp.opencaselaw.ch/entscheid/ti_gerichte_35.2021.62</w:t>
      </w:r>
    </w:p>
    <w:p>
      <w:r>
        <w:t>FR: TI_GERICHTE 35.2021.62 du 8 novembre 2021</w:t>
      </w:r>
    </w:p>
    <w:p>
      <w:r>
        <w:t>IT: TI_GERICHTE 35.2021.62 del 8 novembre 2021</w:t>
      </w:r>
    </w:p>
    <w:p>
      <w:pPr>
        <w:pStyle w:val="Heading2"/>
      </w:pPr>
      <w:r>
        <w:t>Regeste</w:t>
      </w:r>
    </w:p>
    <w:p>
      <w:r>
        <w:t>Discusso il diritto aa una rendita d'invalidità (per quanto riguarda reddito da valido, applicazione delle modalità previste dal CNM per l'edilizia)</w:t>
      </w:r>
    </w:p>
    <w:p>
      <w:pPr>
        <w:pStyle w:val="Heading2"/>
      </w:pPr>
      <w:r>
        <w:t>Erwägungen</w:t>
      </w:r>
    </w:p>
    <w:p>
      <w:r>
        <w:rPr>
          <w:b/>
        </w:rPr>
        <w:t>E. 19</w:t>
      </w:r>
    </w:p>
    <w:p>
      <w:r>
        <w:t>giugno 2018, residuante un dolore neuropatico in presenza di lesioni dei nervi digitali D2, D3, D4 e D5, come pure di un’insufficiente muscolatura intrinseca e di una persistente posizione in sublussazione dell’articolazione MCF del III. dito con il sospetto clinico di un vizio di rotazione alla mano sinistra. I fiduciari dell’CO 1 hanno refertato, dal profilo ortopedico-chirurgico, una funzionalità della mano sinistra molto buona. L’assicurato può utilizzarla in maniera adeguata. Inoltre, sebbene presenti una chiara perdita di forza alla mano sinistra, egli è in grado di svolgere le mansioni quotidiane senza limitazioni, di modo che non si può parlare di un assicurato funzionalmente monco di una mano. Dal punto di vista neurologico, il ricorrente soffre di dolori neuropatici da lievi a medio-gravi, soprattutto nel comprimere la regione metacarpale della mano sinistra. Secondo i dottori __________ e __________, RI 1 è in grado di esercitare un’attività appropriata a tempo pieno senza la necessità d’introdurre delle pause supplementari, presentando egli delle limitazioni soltanto alla mano sinistra, ma non più la sua precedente professione di muratore. Essi hanno quindi così descritto i limiti funzionali derivanti dal danno alla salute infortunistico: " (…): Schwere Arbeiten mit Gegenständen über 10 kg sind mit der linken Hand nicht mehr möglich. Die Greiffunktion der linken Hand ist bedeutend eingeschränkt, sodass die Bedienung von schweren Maschinen und Geräten, die einen besonderen Kraftaufwand der linken Hand benötigen, ebenfalls nicht durchführbar sind. Das Gehen auf Treppen und Leitern ist uneingeschränkt möglich. Arbeiten, die eine besondere Feinmotorik mit der linken Hand benötigen, können ebenfalls nicht durchgeführt werden. Haltefunktion mit der linken Hand, z.B. Sägen mit der rechten Hand und Halten des Hölzstückes mit der linken Hand, sind ebenfalls nur mit beträchtlichen Einschränkungen möglich. Wegen der guten Restfunktionalität der linken Hand könnten jedoch beispielsweise Hauswartarbeiten eingeschränkt durchgeführt werden. Vorstellbar wäre eine Tätigkeit in einem Baumarkt als Verkäufer/Berater, wo der Versicherte sein langjähriges Wissen als Maurer eingesetzen könnte. Diese Tätigkeit wäre ohne Einschränkungen zumutbar.” (doc. 219, p. 12 s.) Con la propria impugnativa, il rappresentante dell’assicurato contesta la fondatezza dell’apprezzamento dell’esigibilità lavorativa espresso dal dott. __________, rispettivamente dai dottori __________ e __________, e chiede che il TCA fondi invece il proprio giudizio sulle certificazioni agli atti dei dottori __________, __________ e __________ (cfr. doc. I).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Chiamata a pronunciarsi nella concreta evenienza, tutto ben considerato, il TCA ritiene di poter validamente far capo alla valutazione dell’esigibilità lavorativa espressa dai medici fiduciari dell’amministrazione, specialisti nelle materie che qui interessano (in questo contesto, va segnalato che, secondo una costante giurisprudenza, i medici ____________,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secondo i quali, nonostante i postumi residuali interessanti l’estremità superiore sinistra, l’assicurato sarebbe ancora in grado di svolgere, a tempo pieno e con un rendimento completo, un’attività lavorativa adeguata. In questo senso, occorre sottolineare che lo stesso medico curante specialista, dott. __________, con il referto relativo all’ultima consultazione, ha dichiarato che il ricorrente “… è in grado di eseguire diverse attività, sebbene con certe limitazioni, in particolare di forza e di presa di oggetti fini”, rispettivamente che sono “… molte le attività che il paziente potrebbe già svolgere fin da ora con il recupero funzionale ottenuto” (doc. 99). D’altro canto, questo Tribunale non ritiene che la documentazione richiamata con il ricorso sia atta a generare dei dubbi, nemmeno lievi, circa la fondatezza del parere dei medici consulenti dell’amministrazione. In questo senso, va rilevato che né la dott.ssa __________ né il dott. __________ hanno preteso che il ricorrente non sarebbe più in grado di mettere pienamente a frutto la sua capacità lavorativa residua in attività sostitutive adeguate. In effetti, la neurologa ha sostenuto semplicemente che il danno alla salute infortunistico è d’impedimento all’esercizio della precedente professione di muratore e di altre attività bimanuali che necessitano una motricità fine (della mano sinistra) (doc. 200, p. 3), analogamente quindi a quanto indicato dai dottori __________ e __________. In questi termini si è pure pronunciato il chirurgo della mano privatamente consultato dal ricorrente (cfr. doc. 140, p. 2). Il TCA non ignora che il dott. __________ ha sostenuto che l’assicurato presenterebbe invece una capacità lavorativa limitata (in misura di almeno il 30%) anche in attività alternative appropriate (cfr. doc. 184), tuttavia la sua opinione risulta assolutamente minoritaria. Del resto, l’esistenza di una piena capacità lavorativa in attività sostitutive confacenti risulta plausibile anche alla luce dei precedenti giurisprudenziali riportati qui di seguito, riguardanti assicurati che hanno lamentato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quanto precede, richiamate in particolare le succitate pronunzie U 200/02 e 35.2013.74 , va ritenuto dimostrato con un sufficiente grado di verosimiglianza che il ricorrente sarebbe in grado di esercitare, a tempo pieno e con un rendimento completo, un’attività lavorativa confacente alle limitazioni dipendenti dal danno infortunistico riguardante la mano sinistra, senza che si riveli necessario dare seguito alla richiesta ricorsuale tendente all’esecuzione di una perizia giudiziaria. È infine utile segnalare che, in una sentenza 8C_971/2008 del 23 marzo 2009, il TF ha stabilito che anche per gli assicurati funzionalmente monchi di un braccio, esiste un mercato del lavoro sufficientemente ampio.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(in questo stesso senso, cfr. le STCA 35.2020.72 dell’8 marzo 2021 consid. 2.4.4, 35.2021.4 del 26 luglio 2021 consid. 2.5.3, 35.2021.44 del 16 agosto 2021 consid. 2.6 e 35.2021.9 del 20 settembre 2021 consid. 2.3.3). 2.8.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2020 , essendo stato considerato lo stato di salute stabilizzato a partire dal 1° febbraio 2020 (cfr. supra , consid. 1.2.). 2.9.   Per quanto concerne il reddito da valido , secondo l’assicuratore infortuni resistente, senza il danno alla salute infortunistico, RI 1, nel 2020, avrebbe realizzato un guadagno annuo lordo di fr. 66'810 (fr. 29.20/ora x 176 ore x 13 mesi), determinato in base alle indicazioni direttamente fornite dal datore di lavoro (cfr. doc. 176). Da parte sua, l’avv. RA 1 pretende invece che il reddito senza invalidità ammonterebbe almeno a fr. 78'951.44/anno, ovvero fr. 36.41/ora x 41.7 ore/settimana x 52 settimane, così come risulterebbe dal contratto di missione 17767 del 20 aprile 2018 (cfr. doc. V + allegato). Il TCA constata che, secondo quanto indicato dalla ditta __________ il 13 maggio 2020, il salario orario di base percepito dall’assicurato nel 2020 sarebbe stato di fr. 29.20 (doc. 175), ciò che anche il rappresentante riconosce (cfr. doc. V). Ora, giusta l’art. 24 cpv. 1 del Contratto nazionale mantello per l’edilizia principale in Svizzera (CNM 2019-2022), per orario di lavoro annuale si intende il totale lordo delle ore di un anno civile, durante le quali il lavoratore deve svolgere il suo lavoro, prima della deduzione delle ore non lavorative generali, come i giorni festivi infrasettimanali retribuiti, e delle ore individuali non lavorate, come vacanze, malattia, infortunio, giorni di servizio civile, ecc. Il cpv. 2 prevede invece che il totale determinante delle ore annuali ammonta a 2112 ore in tutte le zone contrattuali (365 giorni : 7 = 52.14 settimane x 40.5 ore). In una sentenza 8C_749/2013 del 6 marzo 2014 consid. 3.3.2, il Tribunale federale ha stabilito che nel caso in cui il salario sia già comprensivo dell’indennità per festività infrasettimanale e di quella di vacanza, i corrispondendi periodi devono essere dedotti dall’orario di lavoro annuale convenuto mediante contratto collettivo, affinché si possa stabilire il reddito determinante. Nel caso di specie, il salario orario di fr. 29.20 comunicato dall’ex datore di lavoro non è comprensivo dell’indennità per festività infrasettimanale, né di quella di vacanza, né ancora della tredicesima mensilità ( lo è invece quello di fr. 36.41 invocato dal patrocinatore , così come giustamente lo rileva l’amministrazione, cfr. doc. VII), ragione per la quale l’assicuratore convenuto l’ha correttamente moltiplicato per 176 ore/mese (coefficiente per il salario costante - 2112 : 12) e, in seguito, per 13 mesi (oppure fr. 29.20 x 2112 ore/anno + 8.33% di tredicesima mensilità). Almeno da questo punto di vista, la decisione su opposizione impugnata non presta dunque il fianco a critiche. 2.10.   Trattandosi del reddito da invalido ritenuto dall’assicuratore resistente (fr. 68'446.03 - doc. 176), con la propria impugnativa, il rappresentante dell’assicurato lo contesta esclusivamente nella misura in cui non è stata applicata alcuna riduzione sociale. A suo avviso, il reddito da invalido dovrebbe essere decurtato del 25% in funzione dell’età, della nazionalità straniera, della mancanza di formazione, delle competenze professionali limitate al solo settore edile, nonché del danno alla salute subito. In queste condizioni, il TCA può limitare il proprio esame a questo solo aspetto. A tal proposito,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In merito al fattore età , va rilevato che al momento determinante (febbraio 2020) l’assicurato aveva 48 anni ed era quindi ancora ben lontano dall’età ordinaria di pensionamento. Una decurtazione a tale titolo del reddito statistico da invalido, non entra pertanto in linea di conto (in questo senso, si veda ad esempio la STF 8C_587/2019 del 30 ottobre 2019 consid. 7.3, a proposito di un assicurato 47enne). In questo contesto, si consideri pure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(in questo senso, cfr. ancora la STF 8C_597/2020 del 16 giugno 2021 consid. 5.2.5). P er quanto attiene al fatto che l’insorgente disporrebbe di un livello formativo limitato , l’Alta Corte ha già avuto modo di precisare che una carenza formativa ha poca incidenza sulla rimunerazione percepita per l’esecuzione di mansioni semplici e ripetitive (livello di competenze 1). D’altra parte, qualunque nuovo lavoro presuppone un periodo d’apprendimento, di modo che non vi è spazio per una riduzione a questo titolo del reddito da invalido (cfr., tra le tante, la STF 8C_48/2021 del 20 maggio 2021 consid. 4.3.4, 8C_603/2020 del 4 dicembre 2020 consid. 6.2, 8C_122/2019 del 10 settembre 2019 consid. 4.3.2 e 8C_46/2018 dell’11 gennaio 2019 consid. 4.4). Un discorso analogo vale anche per l’ assenza di esperienza in taluni ambiti di attività (cfr. STF 8C_103/2018 del 25 luglio 2018 consid. 5.2, 9C_467/2012 del 25 febbraio 2013 consid. 4.3.2). Trattandosi dell’invocata riduzione dettata dagli impedimenti fisici , secondo la più recente giurisprudenza federale,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dalla documentazione agli atti emerge che, nonostante il danno salute, l’assicurato sarebbe ancora in grado di svolgere, senza limiti di tempo o di rendimento, attività leggere da svolgere prevalentemente con la mano destra dominante e che non comportano una particolare sollecitazione della mano sinistra dal punto di vista della forza, della motricità fine e della sensibilità . Secondo questo Tribunale, tenuto conto dell’esigibilità appena descritta, occorre ammettere che il ricorrente beneficia di un ventaglio di attività sostitutive esigibili ancora sufficientemente ampio, motivo per il quale una decurtazione a tale titolo non si giustifica (del resto, il TF ha deciso proprio in questo senso in una sentenza 8C_383/2020 del 21 settembre 2020 consid. 4.2.2, escludendo che si fosse in presenza di una situazione in cui la persona assicurata è di fatto in grado di utilizzare un’unica mano/un unico braccio [ faktische Einhändigkeit/Einarmigkeit ], così come l’hanno d’altronde negato anche i dottori Schmidt e Sorrentino ).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Infine, trattandosi dello statuto di frontaliere , in una sentenza 8C_610/2017 del 3 aprile 2018 consid. 4.4, il TF ha stabilito che, tenuto conto delle disposizioni dell’Allegato I all’ALC, un lavoratore cittadino di uno Stato membro non può essere trattato diversamente dai lavoratori svizzeri, segnatamente dal punto di vista retributivo (art. 9 par. 1 allegato I ALC). In una successiva sentenza 8C_378/2019 del 18 dicembre 2019, pubblicata in DTF 146 V 16 (= SVR 2020 UV Nr. 34), l’Alta Corte federale ha però precisato che la giurisprudenza qualifica lo statuto di frontaliere come potenzialmente giustificante una riduzione, sotto il criterio “nazionalità/permesso di soggiorno”. Essa ha peraltro rilevato che l’eventuale riduzione deve in ogni caso essere il frutto di una valutazione complessiva che tenga conto di tutte le circostanze del caso di specie e che non esiste una soglia di rilevanza del 5% (analoga a quella che vige in materia di parallelismo dei redditi) in relazione al fatto che il reddito di un frontaliere è inferiore alla media. In quella fattispecie, il TF è giunto alla conclusione che lo statuto di frontaliere non giustificava alcuna deduzione sociale, posto che l’assicurato per decenni era rimasto fedele al proprio posto di lavoro in Svizzera, che prima dell’insorgenza dell’invalidità la sua retribuzione corrispondeva ai salari usuali del settore, che mai nella sua attività ha dovuto subire un salario inferiore alla media e che non sussistevano motivi per ritenere che, in quanto frontaliere, dopo l’insorgenza del danno alla salute, egli sarebbe svantaggiato dal profilo salariale rispetto alla cerchia di persone su cui si basava la rilevazione statistica dei salari per determinare il reddito da invalido (RSS 2012, tabella TA1, totale, uomini, livello di competenze 1). Nel caso di specie, la questione di sapere se si giustifica ridurre il reddito statistico da invalido in ragione dello statuto di frontaliere del ricorrente, può restare aperta per il motivo che, anche applicando una decurtazione del 5%, ciò non basterebbe comunque a raggiungere la soglia minima legale del 10%, così come verrà meglio dimostrato in seguito. Il reddito statistico da invalido ammonta, dunque, a fr. 65'023.72 (fr. 68'446.03 – 5%). Ora, confrontando i fr. 65'023.72 al reddito che l’insorgente avrebbe potuto conseguire senza il danno alla salute, e cioè fr. 66'810, risulta una perdita di guadagno del 2.67% , insufficiente per fondare il diritto a una rendita d’invalidità LAINF. La decisione su opposizione, mediante la quale è stata negata l’assegnazione di una rendita, deve quindi essere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2 settembre 2021 per cui si applica la nuova disposizione legale. Trattandosi di una controversia relativa a prestazioni LAINF, il legislatore non ha previsto di prelevare le spese (sul tema, cfr.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