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35.2021.5 vom 18. Mai 2021</w:t>
      </w:r>
    </w:p>
    <w:p>
      <w:r>
        <w:t>TI Tribunale d'appello, 2021-05-18, IT</w:t>
      </w:r>
    </w:p>
    <w:p>
      <w:r>
        <w:rPr>
          <w:b/>
        </w:rPr>
        <w:t xml:space="preserve">Quelle: </w:t>
      </w:r>
      <w:r>
        <w:t>https://mcp.opencaselaw.ch/entscheid/ti_gerichte_35.2021.5</w:t>
      </w:r>
    </w:p>
    <w:p>
      <w:r>
        <w:t>FR: TI_GERICHTE 35.2021.5 du 18 mai 2021</w:t>
      </w:r>
    </w:p>
    <w:p>
      <w:r>
        <w:t>IT: TI_GERICHTE 35.2021.5 del 18 maggio 2021</w:t>
      </w:r>
    </w:p>
    <w:p>
      <w:pPr>
        <w:pStyle w:val="Heading2"/>
      </w:pPr>
      <w:r>
        <w:t>Regeste</w:t>
      </w:r>
    </w:p>
    <w:p>
      <w:r>
        <w:t>Nessun diritto a rendita e IMI del 15%. DSO confermata. Deduzione sociale del 5% confermata</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32.2019.47 del 24 febbraio 2020, consid. 2.6; STCA 32.2020.25 del 2 ottobre 2020, consid. 2.6). 2.3.4. Per quanto concerne la valutazione dell’esigibilità lavorativa, dalle tavole processuali emerge che, a margine della visita __________ del 16 giugno 2020 (doc. 125), il dr. med. __________, facendo anche capo alle risultanze della valutazione della capacità funzionale (VCF) eseguita dal dr. med. __________ (doc. 111) - ha giudicato l’assicurato: " (…) abile in misura massima possibile secondo la seguente esigibilità lavorativa. Esigibilità del lavoro L'assicurato spesso può, sollevare pesi molto leggeri fino a 5 kg fino all'altezza dei fianchi con la mano destra. Mai può sollevare pesi di altro genere. Mai può sollevare oltre l'altezza del petto pesi fino a 5 kg o sollevare oltre l'altezza del petto pesi superiori a 5 kg. Mai può effettuare lavoro leggero/di precisione medio, con la mano destra e neanche lavoro pesante e molto pesante. La rotazione della mano è possibile senza nessuna limitazione. L'uso delle due mani è possibile a condizione nel senso che la mano sinistra può essere impiegata senza problemi, la mano destra assolutamente no.” Con nota del 26 novembre 2020, il precitato medico __________ ha precisato che l’assicurato è abile al 100% (presenza e rendimento) in attività adeguate (cfr. doc. 153). Su tali basi, l’amministrazione ha, quindi, ritenuto una capacità lavorativa residua in attività adeguate del 100% (presenza e rendimento). La valutazione dell’esigibilità lavorativa espressa dal medico __________ - non contestata dalla patrocinatrice del ricorrente (cfr. supra , consid. 2.2.) -, può essere fatta propria da questa Corte, vista anche l’assenza di pareri specialistici divergenti agli atti. Del resto, l'esigibilità indicata dal medico fiduciario risulta pure plausibile alla luce dei precedenti giurisprudenziali, riguardanti assicurati che accusavano limitazioni nell'utilizzo degli arti superiori (cfr., tra le tante, la STCA 35.2020.72 dell’8 marzo 2021 consid. 2.4.4 e i numerosi riferimenti giurisprudenziali, federali e cantonali, ivi citati). 2.3.5.   Si tratta ora di valutare le conseguenze economiche – nella misura in cui sono contestate dalla patrocinatrice del ricorrente -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2020 (data di decorrenza della rendita: 1° luglio 2020, ovvero dalla sospensione delle prestazioni di corta durata - cfr. supra , consid. 2.2.). 2.3.6.   Per quanto concerne il reddito da valido , secondo l’assicuratore infortuni resistente, senza il danno alla salute infortunistico, RI 1, nel 2020, avrebbe realizzato un guadagno annuo lordo di fr. 68'906.-, calcolato in base ai dati statistici risultanti dalla RSS, posto che al momento dell’evento infortunistico l’assicurato esercitava un’attività lucrativa a titolo di guadagno intermedio (doc. 134, 137 e 155). Questo importo, non contestato e desunto dalla tabella RSS TA1 2018 (ramo 49-52: “ trasporti terrestre, per via d’acqua e aereo; magazzinaggio ”, livello di qualifica 1, uomini) aggiornato al 2020, può essere fatto proprio dal TCA. Il reddito “da valido” per il 2020 ammonta, dunque, a fr. 68'906.- . 2.3.7.   Per quanto concerne il reddito da invalido , secondo l’assicuratore infortuni resistente, con il danno alla salute infortunistico, RI 1, nel 2020, avrebbe potuto realizzare un guadagno annuo lordo di fr. 68'991.96, stabilito facendo capo ai dati statistici risultanti dalla RSS (cfr. doc. 134, 137 e 155). In quanto desunto dalla tabella RSS TA1 2018, attività semplici e ripetitive, livello di qualifica 1, uomini, aggiornato al 2020, tenuto conto di una capacità lavorativa residua del 100% (cfr. supra , consid. 2.3.4), l’importo di fr. 68'991.96, peraltro rimasto incontestato, può essere fatto proprio anch’esso da questo Tribunale. La rappresentante dell’insorgente critica l’operato dell’CO 1 per avere applicato al precitato importo una deduzione sociale del 5%, giudicata troppo esigua (cfr. doc. I). Visto che il danno alla salute infortunistico limita il suo patrocinato (destroide) in modo importante in qualsiasi attività, anche in quelle della vita quotidiana, andrebbe riconosciuta una riduzione sociale del 15% almeno, riduzione peraltro già applicata in casi simili dall’CO 1 e dal TCA. A tal proposito, l’avv. RA 1 richiama la STCA 35.2019.57 consid. 2.7.2, in cui questa Corte aveva riconosciuto all’assicurato in questione, che aveva subito un danno permanente alla spalla con limitazioni meno importanti rispetto a quelle che presenta RI 1 (poteva ancora eseguire lavori di precisione), una deduzione sociale del 10% (cfr. doc. I, pag. 5 e 6). A ciò aggiungasi che il ricorrente ha 62 anni, ha sempre svolto unicamente la professione di autista e non ha alcun’altra formazione particolare (cfr. doc. I). Nella sua risposta del 5 febbraio 2021 (doc. III), l'CO 1 ha puntualizzato quanto segue: " (…)</w:t>
      </w:r>
    </w:p>
    <w:p>
      <w:r>
        <w:rPr>
          <w:b/>
        </w:rPr>
        <w:t>E. 2.4</w:t>
      </w:r>
    </w:p>
    <w:p>
      <w:r>
        <w:t>Entità della menomazione all’integrità?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w:t>
      </w:r>
    </w:p>
    <w:p>
      <w:r>
        <w:rPr>
          <w:b/>
        </w:rPr>
        <w:t>E. 2.4.5</w:t>
      </w:r>
    </w:p>
    <w:p>
      <w:r>
        <w:t>Nella concreta evenienza, l’amministrazione ha acquisito agli atti l’apprezzamento 15 giugno 2020 (doc. 126) del dr. med. __________, riguardante la valutazione del danno all’integrità, giusta il quale: " (…). 1. Reperti Esiti di frattura II, III, IV e V metacarpo mano destra con successivi interventi chirurgici di riduzione e sintesi e successiva fisioterapia con esito in ridotta funzionalità della mano destra con flessione del I dito a 15°, flessione delle altre dita limitata nella opposizione al palmo che non chiude ed è più accentuata a livello del II e V dito con deficit di chiusura del palmo a 4 cm dal palmo, le altre a circa 3 cm dal palmo. Possibile con difficoltà la presa pollice-indice, evidente perdita di forza su tutta la mano destra. 2. Valutazione del danno all'integrità 15%. 3. Motivazione Secondo la tabella CO 1 3.2 una perdita completa del I dito della mano è valutata attorno al 20%, secondo la tabella 3.5 la perdita delle quattro dita è equiparabile a circa il 30%. Vista la situazione attuale e la possibilità di estensione completa, la normalità della prono-supinazione e della flesso/estensione del polso, e quindi la residua pur tanto modesta attività funzionale delle dita della mano e soprattutto descritta funzionalità del I dito, si ritiene che la percentuale del 15% previa attenta ponderazione sia più che giustificata.” Stante quanto precede, l’CO 1 ha riconosciuto all’assicurato, con la decisione formale del 27 luglio 2020 (doc. 137), poi confermata in sede di opposizione (doc. 155), un’IMI del 15%. La patrocinatrice del ricorrente contesta la valutazione dell’IMI espressa dal medico __________, rilevando quanto segue: " (…) Per quanto attiene all'indennità IMI, il cui ammontare riconosciuto nella decisione della CO 1 del 27 luglio 2020 è stata da questa confermato nella decisione qui impugnata, si ribadisce quanto già indicato nell'opposizione, ossia che la valutazione del danno d'integrità del 15% non tiene conto delle effettive limitazioni dell'uso concreto della mano del ricorrente. Come risulta dal rapporto EFL della clinica __________, infatti, la mano destra presenza deficit nella flessione di 4 dita su 5, mancanza di forza e sicurezza nella presa oltre alla mancanza di forza, impossibilità di precisione nella presa tra pollice e indice, con conseguente difficoltà persino a scrivere, a sollevare pesi, impossibilità a guidare, Si ritiene pertanto che il danno all'integrità deve essere considerato nella misura del 25% (considerate le limitazioni del pollice da un lato e delle altre 4 dita dall'altro raffrontato alla percentuale massima complessiva che viene riconosciuta in caso di perdita completa di tutte le dita del 50%, secondo la tabella 3 delle Pubblicazioni della Divisione medicina assicurativa) e quindi che al signor RI 1 vada riconosciuta un'indennità pari a CHF 37'050.-.” (doc. I, pag. 6). Nella sua risposta di causa (doc. III), l’amministrazione ha puntualizzato quanto segue: " 7. Per quanto riguarda il danno all'integrità - quesito prettamente medico - non vi è elemento alcuno che permetta di mettere in dubbio la valutazione del medico __________ rilasciata con piena conoscenza della documentazione agli atti e pertanto anche delle risultanze del rapporto delle EFL. (…)” Chiamato ora a pronunciarsi su una questione di natura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 s.), il TCA ritiene di non avere validi motivi per discostarsi dalla valutazione enunciata dal dr. med. De Belardini, specialista nella materia che qui interessa e che vanta un’ampia esperienza in materia di medicina assicurativa e infortunistica. Il suo parere non risulta del resto smentito da certificazioni medico-specialistiche. In questo contesto, va precisato come la valutazione della capacità funzionale del 28 maggio 2020 (doc. 111), che peraltro non si pronuncia in merito all’entità della menomazione dell’integrità di cui è portatore l’assicurato, fosse ben nota al medico __________ (cfr. doc. 125, pag. 2). In conclusione, la decisione su opposizione impugnata merita tutela anche nella misura in cui all’insorgente è stata assegnata un'IMI del 15% per il danno permanente all'arto superiore destro.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ad assumere ulteriori prove, ritenendo che le circostanze giuridicamente rilevanti siano già state sufficientemente chiarite grazie all’istruttoria compiuta dall’amministrazione.</w:t>
      </w:r>
    </w:p>
    <w:p>
      <w:r>
        <w:rPr>
          <w:b/>
        </w:rPr>
        <w:t>E. 2.5</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15 gennaio 2021 per cui si applica la nuova disposizione legale. Trattandosi di prestazioni LAINF, il legislatore non ha previsto di prelevare le spese.</w:t>
      </w:r>
    </w:p>
    <w:p>
      <w:r>
        <w:rPr>
          <w:b/>
        </w:rPr>
        <w:t>E. 4</w:t>
      </w:r>
    </w:p>
    <w:p>
      <w:r>
        <w:t>In primis giova nuovamente ricordare che il Tribunale cantonale non può sostituire semplicemente il suo apprezzamento a quello dell'assicuratore ma deve appoggiarsi sulle circostanze sono di natura a dimostrare il proprio apprezzamento come il più appropriato (DTF 137 V 71 e le recenti sentenze del TF in lingua italiana del 10.6.2020 8C_9/2020, 8C_765/2019 e 8C_730/2019).</w:t>
      </w:r>
    </w:p>
    <w:p>
      <w:r>
        <w:rPr>
          <w:b/>
        </w:rPr>
        <w:t>E. 5</w:t>
      </w:r>
    </w:p>
    <w:p>
      <w:r>
        <w:t>L'età non è un fattore di riduzione in base alla giurisprudenza vigente. Anche la mancata formazione non giustifica alcuna deduzione in quanto il livello 1 si riferisce al personale non qualificato e non richiede un'esperienza diversificata (DTF 137 V 71 consid. 5.3).</w:t>
      </w:r>
    </w:p>
    <w:p>
      <w:r>
        <w:rPr>
          <w:b/>
        </w:rPr>
        <w:t>E. 6</w:t>
      </w:r>
    </w:p>
    <w:p>
      <w:r>
        <w:t>Per quanto riguarda i limiti funzionali, alla luce dell'evoluzione della giurisprudenza, l'CO 1 ha modificato la propria prassi per cui i casi enumerati nel ricorso non sono più di attualità. A mente della più recente giurisprudenza, in tutti quei casi in cui, come in concreto, sussistono su un mercato generale del lavoro un ventaglio sufficientemente ampio, non vi è spazio alcuno per una riduzione.” Chiamato ora a pronunciarsi, il TCA osserva innanzitutto che il ricorso inoltrato al TF dall’CO 1 (che aveva riconosciuto, in quel caso, una deduzione sociale del 5%) avverso la pronunzia cantonale evocata dalla patrocinatrice dell’assicurato (in cui questa Corte aveva invece applicato una deduzione sociale del 10%), è stato accolto con sentenza 8C_765/2019 del 10 giugno 2020. La Corte federale ha dunque confermato la correttezza della deduzione sociale del 5% operata dall’amministrazione.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w:t>
      </w:r>
    </w:p>
    <w:p>
      <w:r>
        <w:rPr>
          <w:b/>
        </w:rPr>
        <w:t>E. 10</w:t>
      </w:r>
    </w:p>
    <w:p>
      <w:r>
        <w:t>giugno 2020 consid. 4.4.4; 8C_765/2019 del 10 giugno 2020 consid. 5.4.4; 8C_9/2020 del 10 giugno 2020 consid. 4.4.4; sul tema, si veda pure A.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l’assicurato sarebbe ancora in grado di svolgere, senza limiti di tempo o di rendimento, un’attività leggera dal profilo dell’impegno fisico da svolgere a livello del piano orizzontale (cfr. supra , consid. 2.3.4). Secondo questo Tribunale, tenuto conto dell’esigibilità appena descritta, occorre ammettere che il ricorrente beneficia di un ventaglio di attività sostitutive esigibili ancora sufficientemente ampio, motivo per il quale una decurtazione non sarebbe giustificata (in questo senso, si veda, ad esempio,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STF 8C_174/2019 consid. 5.2.2, riguardante un’assicurata in grado di impiegare il suo arto superiore sinistro soltanto in attività leggere e non ripetitive oppure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 faktische Einhändigkeit/Einarmigkeit ], situazione che, in base alla giurisprudenza, avrebbe giustificato una riduzione sociale (cfr., ad esempio, STF 8C_383/2020 del 21 settembre 2020 consid. 4.2.2). Va inoltre rilevato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tra le tante,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Per quanto concerne infine il fattore età - anche se si volesse ritenere giustificato applicare a tale titolo una decurtazione sul reddito statistico da invalido (e ciò tenuto conto di quanto è stato precisato nella DTF 146 V 16; in proposito, si veda pure la STF 8C_433/2020 del 15 ottobre 2020 consid. 8.2.3) - globalmente, e tenuto conto di tutte le circostanze del caso concreto, questa Corte ritiene che una deduzione sociale del 5% tenga sufficientemente conto degli effetti legati alla menomazione infortunistica.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5%, l’istituto resistente non abbia abusato del proprio potere di apprezzamento. Il "reddito da invalido", tenuto conto di una decurtazione sociale del 5%, ammonta dunque a fr. 65'542.36 . 2.3.8.   Confrontando ora il reddito " da invalido " di fr. 65'542.36 (cfr. supra , consid. 2.3.7.) con il reddito " da valido " di fr. 68'906.- (cfr. supra , consid. 2.3.6,) si ottiene un grado d’invalidità del 4.88%, arrotondato al 5% secondo la giurisprudenza di cui alla DTF 130 V 121 consid. 3.2. A ragione dunque l'CO 1 non ha riconosciuto il diritto a una rendita d’invalidità LAINF, non raggiungendo il grado d’invalidità la soglia pensionabile del 10%. La decisione su opposizione impugnata che nega il diritto a una rendita d’invalidità, deve essere di conseguenza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