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35.2021.19 vom 7. Februar 2022</w:t>
      </w:r>
    </w:p>
    <w:p>
      <w:r>
        <w:t>TI Tribunale d'appello, 2022-02-07, IT</w:t>
      </w:r>
    </w:p>
    <w:p>
      <w:r>
        <w:rPr>
          <w:b/>
        </w:rPr>
        <w:t xml:space="preserve">Quelle: </w:t>
      </w:r>
      <w:r>
        <w:t>https://mcp.opencaselaw.ch/entscheid/ti_gerichte_35.2021.19</w:t>
      </w:r>
    </w:p>
    <w:p>
      <w:r>
        <w:t>FR: TI_GERICHTE 35.2021.19 du 7 février 2022</w:t>
      </w:r>
    </w:p>
    <w:p>
      <w:r>
        <w:t>IT: TI_GERICHTE 35.2021.19 del 7 febbraio 2022</w:t>
      </w:r>
    </w:p>
    <w:p>
      <w:pPr>
        <w:pStyle w:val="Heading2"/>
      </w:pPr>
      <w:r>
        <w:t>Regeste</w:t>
      </w:r>
    </w:p>
    <w:p>
      <w:r>
        <w:t>Discusso se l'amministrazione potesse, a fronte dei soli postumi infortunistici, dichiarare l'assicurato totalmente abile al lavoro (con rifiuto diritto a rendita) e assegnare un'IMI del 5%. Rinvio atti per allestimento perizia pluridisciplinare</w:t>
      </w:r>
    </w:p>
    <w:p>
      <w:pPr>
        <w:pStyle w:val="Heading2"/>
      </w:pPr>
      <w:r>
        <w:t>Erwägungen</w:t>
      </w:r>
    </w:p>
    <w:p>
      <w:r>
        <w:rPr>
          <w:b/>
        </w:rPr>
        <w:t>E. 21</w:t>
      </w:r>
    </w:p>
    <w:p>
      <w:r>
        <w:t>giugno 2019 si applica il diritto anteriore.</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Nella concreta evenienza, è litigiosa la questione di sapere se, tenuto conto unicamente dei postumi infortunistici, l’CO 1 era legittimato a dichiarare l’assicurato totalmente abile nella sua abituale professione a contare dal 31 marzo 2020 (e, di fatto, a negargli il diritto a una rendita d’invalidità) e ad assegnargli un’IMI del 5%, oppure no. 2.3.   Secondo l’art. 6 cpv. 1 LAINF, per quanto non previsto altrimenti dalla legge, le prestazioni assicurative sono effettuate in caso d’infortuni professionali, d’infortuni non professionali e di malattie professionali.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2.5.   Secondo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2.6.   Secondo l'art. 24 cpv. 1 LAINF, l'assicurato ha diritto a un'equa indennità se, in seguito all'infortunio, accusa una menomazione importante e durevole all'integrità fisica o mentale.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L’indennità per menomazione dell’integrità è calcolata secondo le direttive che figurano all’allegato 3 all’OAINF (art. 36 cpv. 2 OAINF). Se più menomazioni dell’integrità fisica, mentale o psichica, causate da uno o più infortuni, sono concomitanti, l’indennità è calcolata in base al pregiudizio complessivo (art. 36 cpv. 3 prima frase OAINF). Infine, a norma dell’art. 36 cpv. 4 OAINF, si prende in considerazione in modo adeguato un peggioramento prevedibile della menomazione dell’integrità. È possibile effettuare revisioni solo in casi eccezionali, ovvero se il peggioramento è importante e non era prevedibile. Se occorre tenere equamente conto dei peggioramenti prevedibili della menomazione al momento in cui viene stabilito il tasso dell’indennità, questa regola concerne però soltanto quei peggioramenti la cui insorgenza è verosimile e, cumulativamente (STF U 173/00 del 22 settembre 2000 consid. 2 e riferimenti), l’importanza quantificabile (STF 8C_494/2014 dell’11 dicembre 2014 consid. 6.2, non pubblicato nella DTF 141 V 1). Il tasso di una menomazione dell’integrità il cui peggioramento è prevedibile ai sensi dell’art. 36 cpv. 4 OAINF, deve essere fissato in base a constatazioni mediche (STF 8C_459/2008 del 4 febbraio 2009 consid. 2.3, in: SVR 2009 UV n. 27 p. 97). 2.7.   Il diritto alle prestazioni risultante da un infortunio assicurato presuppone però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2.8.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Maurer , Schweizerisches Unfallversicherungsrecht, p. 469; Meyer-Blaser ,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2.9.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2.10.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Corte federale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2.11.   In concreto, dalle carte processuali emerge che l’CO 1 ha fondato la decisione su opposizione impugnata essenzialmente sulle valutazioni elaborate dai propri medici interni sulla base dei soli atti. In effetti, con apprezzamento del 14 gennaio 2019, il dott. __________, spec. FMH in neurologia presso il Centro __________ dell’CO 1, dopo aver riassunto i principali dati anamnestici, ha rilevato, a proposito dei dolori al viso denunciati dall’assicurato, che specialisti in neurochirurgia e in chirurgia maxillo-facciale consultati nel frattempo avevano diagnosticato un disturbo della sensibilità, a livello della frattura subita, imputabile al secondo ramo del nervo trigemino a destra (V2). A questo proposito, egli ha affermato che, dal punto di vista neurologico, una frattura zigomatico-mascellare dislocata è atta a causare un disturbo della sensibilità del territorio d’innervazione del nervo in questione. D’altra parte, il fiduciario ha osservato che la refertata contrattura interessante i muscoli masticatori non può essere spiegata con la lesione sensitiva del secondo ramo del nervo trigemino, ritenuto che tutti i muscoli in questione sono innervati dal terzo ramo, il quale non è stato affatto interessato dall’evento infortunistico. Inoltre, sempre a suo avviso, nessun’altra lesione clinica appare giustificata, segnatamente nel quadro di una lesione cerebrale traumatica lieve consecutiva a una dubbia perdita di conoscenza, a fronte di strutture intracraniche risultate prive di particolarità agli esami neuroradiologici. Infine, nemmeno le vertigini e i disturbi al rachide cervicale, segnalati la prima volta nel 2018, possono essere considerati delle conseguenze infortunistiche dal punto di vista neurologico. In conclusione, il dott. __________ ha dichiarato che la lesione del secondo ramo del nervo trigemino e i dolori ad essa associati giustificano l’assegnazione di un’IMI del 5%. D’altro canto, però, essi non pregiudicano la capacità dell’assicurato di svolgere la sua abituale professione. Il medico fiduciario ha comunque precisato che la sua valutazione tiene conto soltanto degli aspetti neurologici, auspicando pertanto che l’insorgente venisse periziato anche dal profilo della chirurgia maxillo-facciale o dentaria specializzata (doc. 217). A cavallo dei mesi di marzo e aprile 2019, RI 1 è quindi stato visitato presso il Centro di medicina dentaria dell’Ospedale universitario di __________ (__________). Dal relativo referto, datato 18 giugno 2019, si evince che i sanitari hanno diagnosticato una neuropatia del trigemino dolorosa interessante l’emivolto destro con ipoestesia e parestesia nonché allodinia paranasale destra, una mialgia della muscolatura masticatoria e del collo bilateralmente con irradiazione eterotopica, un sospetto tinnito miogeno modulabile attraverso i movimenti attivi della mascella inferiore, un disturbo del sonno, come pure un disturbo da dolore cronico con fattori somatici e psichici. Essi hanno rilevato di aver infiltrato la regione del nervo infraorbitale destro con un anestetico a titolo diagnostico-terapeutico, ciò che ha comportato un aumento dei dolori durante i 4-5 giorni successivi. Inoltre, la modulazione dei dolori con Nortriptylin ha sì permesso di migliorare la qualità del sonno ma non ha avuto effetto sulla percezione dei dolori. L’assicurato stesso ha riferito di essere disturbato dagli attacchi di panico che insorgono nella quotidianità, accompagnati da comportamenti di evitamento (contatti sociali sono spesso possibili soltanto se accompagnato dalla moglie e/o dai figli). A loro avviso, il quadro generale delle limitazioni doveva essere valutato dal profilo psicosomatico (doc. 232). Nell’ottobre 2019, il dott. __________, specialista FMH in neurologia, anch’egli attivo presso il Centro __________ di __________, si è espresso in merito allo stato di salute del ricorrente. Preso atto degli esiti del consulto presso il Centro di medicina dentaria dell’__________, il quale non aveva fornito nuovi elementi di valutazione dal profilo neurologico, il dott. __________ ha finalmente confermato le conclusioni a cui era pervenuto il collega dott. __________ e ha auspicato che il caso venisse sottoposto al fiduciario di psichiatria. Egli ha comunque rilevato che i referti elaborati immediatamente dopo il trauma non descrivono un disturbo della sensibilità interessante la parte destra del viso, rispettivamente fanno stato di una situazione priva di particolarità. Dal punto di vista neurologico, anche l’ulteriore decorso deve essere valutato come incongruente. La descrizione di un dolore poco specifico nella regione dell’emiviso destro è stata documentata soltanto in un rapporto del dicembre 2016, ragione per la quale è stata posta anche la diagnosi di disturbo cronico del dolore con fattori somatici e psichici con l’invito, da parte dell’__________, a valutare il quadro generale delle limitazioni dal profilo psicosomatico (doc. 246). Nel quadro della procedura di opposizione, l’amministrazione ha interpellato il dott. __________, specialista ORL, allo scopo di stabilire l’eventuale esistenza di un legame causale tra i disturbi della sfera ORL denunciati dall’assicurato (tinnito con ipoacusia e vertigini) e l’infortunio del febbraio 2016 (cfr. doc. 260). Con apprezzamento del 5 giugno 2020, il dott. Rauch ha dichiarato che la sintomatologia in questione non può essere posta in relazione diretta con l’evento infortunistico in questione. I disturbi uditivi potrebbero per contro dipendere da un’esposizione professionale al rumore. Inoltre, tenuto conto della complessità del quadro clinico, egli ha comunque invitato l’amministrazione a disporre una valutazione neuro-otologica e audiologica presso il Centro per le vertigini della Clinica ORL dell’__________ (doc. 264). Il consulto presso l’__________ non ha in realtà mai avuto luogo (cfr. doc. HH 1). RI 1 si è però sottoposto a indagini specialistiche in ambito ORL in Italia (cfr. doc. 313, p. 4-7). Con apprezzamento del 9 dicembre 2020, il neurologo dott. __________ ha rilevato che, a margine dell’ultima visita neurologica di controllo (9 settembre 2020), non è stato oggettivato più alcun deficit della sensibilità, né un’allodinia rispettivamente una disestesia hanno potuto essere scatenate al tatto. A suo avviso, quindi, una nevralgia post-traumatica del trigemino non può più essere considerata come oggettivamente dimostrata. Dal profilo neurologico, per l’attuale sviluppo, con un dolore interessante l’intero viso, non è pertanto dimostrata l’esistenza di un sostrato organico (doc. 318, p. 3: “Auf neurologischem Fachgebiet ist daher weiterhin mit dem hohen Beweisgrad einer überwiegenden Wahrscheinlichkeit bei fehlender organischer Grundlage ohne neurologisches Defizit im Trigeminusversorgungsgebiet rechts ein unspezifisches überdauerndes Beschwerdebild mit einem angegebenen Ganzgesichtsschmerz nicht nachvollziehbar, ebenso nicht wie rein unfallbedingt eine überdauernde vollständige Arbeitsfähigkeit seit nunmehr fast 5 Jahren.”). Da parte sua, con apprezzamento del 4 gennaio 2021, il dott. __________ ha osservato gli accertamenti compiuti in Italia avevano evidenziato uno stato neuro-otologico normale senza indizi a favore di una patologia a livello degli organi vestibolari periferici. È stato per contro espresso il sospetto di una sintomatologia vertiginosa soggettiva nel quadro di un deficit propriocettivo. A suo avviso, alla luce di ciò, non può essere ammessa l’esistenza di un nesso causale tra le vertigini soggettive e l’infortunio assicurato. Parimenti, i disturbi uditivi non costituiscono, con verosimiglianza preponderante, una conseguenza naturale dell’evento traumatico (doc. 323). Con la decisione su opposizione impugnata, l’assicuratore resistente ha quindi stabilito che, in base all’ultimo apprezzamento del dott. __________, la situazione dal profilo neurologico si era normalizzata, ragione per la quale ci si poteva chiedere se fosse giustificata l’assegnazione di un’IMI del 5% (l’istituto ha comunque rinunciato a procedere a una reformatio in pejus della sua decisione formale del 23 marzo 2020). D’altra parte, facendo capo al parere del dott. __________, l’amministrazione ha negato il proprio obbligo a prestazioni a proposito della sintomatologia vertiginosa e dell’ipoacusia bilaterale. Infine, trattandosi delle turbe psichiche, l’CO 1 ha sostenuto che esse non costituiscono una conseguenza adeguata dell’infortunio (la causalità naturale è invece stata lasciata aperta) e, pertanto, non sono di sua pertinenza (cfr. doc. 324). Con la propria impugnativa, il patrocinatore dell’insorgente contesta in sintesi il valore probatorio attribuibile alle valutazioni dei medici interni all’amministrazione, le quali non avrebbero adeguatamente considerato le indicazioni che emergono dalla restante documentazione medica specialistica agli atti. In questo senso, egli sottolinea la necessità che siano dei medici super partes ad esprimersi, nel quadro di una perizia pluridisciplinare (cfr., in particolare, i doc. I, VII, XI e XV). In corso di causa, il TCA ha chiesto all’avv. RA 2 di sottoporre al Servizio medico dell’CO 1 il referto 21 settembre 2020 della dott.ssa __________, odontoiatra a __________, posto che dalla documentazione a disposizione non risultava che le sue considerazioni fossero state oggetto di valutazione da parte dei fiduciari dell’assicuratore (doc. XXXI). Con referto del 18 ottobre 2021 (XXXII 1; traduzione in lingua italiana prodotta sub doc. XXXIII 1), i dottori __________ e __________ hanno enunciato in particolare le seguenti considerazioni: " (…) Per quanto riguarda il parere dentistico a favore dell’assicurato presente in “Studio odontoiatrico sulla biomeccanica e psicosomatica dell’organo masticatorio”, già inserito nello stesso allegato del rappresentante legale del 21 settembre 2020, dal punto di vista medico-assicurativo si deve affermare che, già per motivi formali con le dichiarazioni spesso incerte sotto forma di “probabilmente”, “apparentemente” e, in particolare, con riserva di una “analisi preliminare”, tale parere può avere solo una rilevanza limitata e, da una stima neurologica, non fa emergere nuovi elementi medici accertati. Dal punto di vista metodologico, l’ecografia a ultrasuoni con “eco-strain”, già nota da molti anni nella diagnostica cardiaca, è da considerare, su base medico-neuroscientifica, come “pseudoscientifica” nella presente interpretazione dentistica della sua applicabilità come “tecnologia d’avanguardia” dall’atto masticatoria a quello deglutitorio. Dal punto di vista neurologico, le funzioni di deglutizione vengono diagnosticate, in accordo con le linee guida, con videoendoscopica (FEES) e non con ecografia, o eventualmente con radiografia mediante test al bario (1) dal punto di vista radiologico. Da un ulteriore esame dettagliato del parere dentistico del 21 settembre 2020, che non è quindi idoneo per la validazione dei disturbi dal punto di vista medico, si nota anche che non è possibile trovare una descrizione realmente dettagliata e aggiornata dei disturbi dell’assicurato. Si afferma solo che l’irradiazione del dolore sul lato destro del viso è correlata al trauma, senza specificare una localizzazione precisa, un livello di gravità o possibili fattori scatenanti. Questo viene giustificato con una presunta asimmetria preesistente dei muscoli masticatori (nota: in nessun caso, tuttavia, viene qui menzionata una funzionalità limitata del muscolo temporale destro, - contrariamente alle dichiarazioni del rappresentante legale dell’assicurato con: “cessata funzione”) e della mandibola che, tuttavia, hanno subito un deterioramento significativo a seguito dell’infortunio, senza che ciò sia ulteriormente comprovato o senza menzionare un preciso disturbo della deglutizione. Le argomentazioni dentistiche non sono convincenti neanche per quanto riguarda il dolore riferito all’intero viso con precedente indicazione di disturbi della sensibilità a destra, poiché una sollecitazione dei muscoli masticatori, dichiarata preesistente e presumibilmente enfatizzata a destra, non è in grado di spiegare già dal punto di vista neuroanatomico un tale quadro clinico in termini puramente organici, soprattutto sulla base di una frattura trattata con osteosintesi e oggettivamente ben guarita (rapporto del 21 febbraio 2017) (1). In seguito, i disturbi riferiti dall’assicurato sono stati quindi valutati anche con la diagnosi di un “disturbo algico cronico con fattori somatici e psichici” (rapporto del 18 giugno 2019). In sintesi, al più tardi con il recente quadro clinico di un dolore aspecifico all’intero viso non di carattere nevralgico e senza deficit neurologico oggettivabile, non è possibile stabilire in campo neurologico alcuna diagnosi circoscritta in grado di spiegare i disturbi persistenti riferiti dall’assicurato, come già indicato nella valutazione del 9 dicembre 2020. Nemmeno le argomentazioni dentistiche risalenti al 21 settembre 2020, ovvero a più di un anno fa, che, come spiegato sopra, si possono definire complessivamente ipotetiche e dubbie, possono contribuire a fornire un’ulteriore spiegazioni con un sufficiente grado di evidenza di una probabilità preponderante. (…). La stima e la valutazione dal punto di vista neurologico possono essere liberamente adottate per l’area ORL, con le stesse conclusioni. In sintesi, anche nell’area ORL non emergono nuovi elementi sulla base delle argomentazioni dentistiche della dott.ssa __________, dentista, contenute nello “Studio odontoiatrico sulla biomeccanica e psicosomatica dell’organo masticatorio”, __________, del 21 settembre 2020 e la valutazione ORL del 5 gennaio 2021 rimane invariata.” 2.12.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2.13.   Attentamente vagliato l’insieme della documentazione a sua disposizione , questo Tribunale non ritiene di poter confermare la decisione impugnata, mediante la quale l’CO 1 ha posto termine alle prestazioni di corta durata a far tempo dal 31 marzo 2020 con assegnazione (soltanto) di un’IMI del 5%. Preliminarmente, va rilevato che, essendo la decisione impugnata fondata essenzialmente sui pareri di medici interni all’amministrazione, può trovare applicazione la giurisprudenza di cui alla DTF 135 V 465, secondo la quale dei lievi dubbi circa l’affidabilità di un rapporto medico bastano per potersene discostare (cfr. supra , consid. 2.11.). Ora, ai referti dei fiduciari dell’CO 1, sui quali si fonda appunto la decisione su opposizione in esame, non può essere riconosciuto un valore probatorio sufficiente a derimere, con la necessaria tranquillità, la presente vertenza. In termini generali, secondo questa Corte, a fronte di una fattispecie tanto complessa, che presenta più problematiche rilevanti da discipline mediche diverse, anziché interpellare in maniera distinta i propri medici interni, chiedendo loro una valutazione sulla base dei soli atti man mano acquisiti (si è trattato in larga misura delle risultanze di accertamenti ai quali l’assicurato si è privatamente sottoposto nel proprio paese di origine), l’istituto convenuto avrebbe dovuto disporre un approfondimento peritale esterno che includesse la neurologia, la chirurgia maxillo-facciale, l’otorinolaringoiatria e la psichiatria. Più nel dettaglio, il TCA ritiene che sussistano dubbi, perlomeno lievi, circa l’effettiva assenza, oltre la fine del mese di marzo 2020, di postumi organici oggettivabili riconducibili all’infortunio assicurato. In questo senso, va rilevato come gli apprezzamenti agli atti del dott. __________ contengano conclusioni apodittiche, insufficientemente argomentate, segnatamente per quanto attiene all’ipoacusia e agli acufeni (cfr. doc. 323). In questo contesto, non può essere ignorato che, nel gennaio 2018, i potenziali evocati acustici (audiometria del tronco encefalico) avevano evidenziato la presenza di un deficit periferico (doc. 257), diagnosi che è stata poi ripresa anche nel referto 11 maggio 2021 della Clinica di ORL dell’__________ (cfr. doc. HH 1). Dagli atti non risulta che il fiduciario abbia mai discusso quell’aspetto. Trattandosi invece delle valutazioni del dott. __________, si osserva innanzitutto come egli, già con il suo primo apprezzamento (ottobre 2019), abbia messo in discussione le conclusioni a cui era giunto il suo collega neurologo __________, specificatamente la diagnosi di neuropatia del trigemino, che aveva giustificato l’assegnazione di un’IMI del 5%. Da notare che il dott. __________ aveva esplicitamente riconosciuto che una frattura quale quella riportata dall’insorgente è già di per sé atta a causare un disturbo della sensibilità nel territorio d’innervazione del nervo in questione. D’altro canto, laddove il dott. __________ fa valere che, in base a quanto refertato dalla neurologa curante a margine della visita di controllo del 9 settembre 2020, non risulterebbe più dimostrata la presenza di una nevralgia del trigemino, il TCA osserva che il referto in questione è troppo succinto per trarne delle conclusioni affidabili e che, del resto, proprio in ragione della persistenza di dolori al viso, la dott.ssa __________ aveva introdotto una terapia farmacologica a base di carbamazepina (Tegretol®) che rappresenta la terapia di scelta per il trattamento della nevralgia del trigemino (si veda, ad esempio, https://www.msdmanuals.com/it/professionale/malattie-neurologiche/malattie-neuro-oftalmologiche-e-dei-nervi-cranici/nevralgia-del-trigemino). Alla luce di quanto precede, considerata l’esistenza di dubbi, perlomeno lievi, circa la correttezza e completezza della valutazione enunciata dai dottori __________ e __________, questo Tribunale ritiene, per maggiore tranquillità, che non si possa prescindere dal procedere a un approfondimento peritale pluridisciplinare (in questo senso, si veda la STF 8C_812/2015 del 20 luglio 2016 e la 8C_783/2018 del 4 aprile 2019). 2.14.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In effetti, l’CO 1 ha sostanzialmente fondato la decisione impugnata sui soli pareri dei propri medici interni (cfr. supra , consid. 2.10.). P er le ragioni già esposte al considerando 2.12. , si giustifica pertanto l’annullamento della decisione su opposizione impugnata e il rinvio degli atti all’assicuratore resistente affinché disponga una perizia pluridisciplinare (in materia di neurologia, chirurgia maxillo-facciale, ORL e psichiatria) esterna (art. 44 LPGA) volta prima di tutto a chiarire se i disturbi denunciati dall’assicurato siano oggettivabili e se siano imputabili all’infortunio del mese di febbraio 2016. In seguito, facendo capo alle risultanze dell’accertamento esperito, l’amministrazione si pronuncerà di nuovo in merito al diritto alle prestazioni dal profilo materiale e temporale. Visto l’esito della lite, può rimanere aperta la questione di sapere se la decisione su opposizione impugnata avrebbe dovuto essere annullata già per delle ragioni formali, così come lo pretende il rappresentante del ricorrente (cfr. supra , consid. 1.4.). Con l’emanazione del presente giudizio diventa priva di oggetto la domanda di ripristino dell’effetto sospensivo del ricorso. 2.15.   Considerato l’esito del ricorso (il rinvio con esito aperto equivale a piena vittoria, cfr., da ultimo, STF 8C_859/2018 del 26 novembre 2018 consid. 5 con rinvio a DTF 137 V 210 consid. 7.1 p. 271 e riferimento), l’CO 1 verserà all’insorgente, rappresentato da un legale, l’importo fr. 3'000 (IVA inclusa) a titolo d’indennità per ripetibili.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5 febbraio 2021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