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35.2021.18 vom 6. September 2021</w:t>
      </w:r>
    </w:p>
    <w:p>
      <w:r>
        <w:t>TI Tribunale d'appello, 2021-09-06, IT</w:t>
      </w:r>
    </w:p>
    <w:p>
      <w:r>
        <w:rPr>
          <w:b/>
        </w:rPr>
        <w:t xml:space="preserve">Quelle: </w:t>
      </w:r>
      <w:r>
        <w:t>https://mcp.opencaselaw.ch/entscheid/ti_gerichte_35.2021.18</w:t>
      </w:r>
    </w:p>
    <w:p>
      <w:r>
        <w:t>FR: TI_GERICHTE 35.2021.18 du 6 septembre 2021</w:t>
      </w:r>
    </w:p>
    <w:p>
      <w:r>
        <w:t>IT: TI_GERICHTE 35.2021.18 del 6 settembre 2021</w:t>
      </w:r>
    </w:p>
    <w:p>
      <w:pPr>
        <w:pStyle w:val="Heading2"/>
      </w:pPr>
      <w:r>
        <w:t>Regeste</w:t>
      </w:r>
    </w:p>
    <w:p>
      <w:r>
        <w:t>Discussa la questione di sapere quale valore probatorio attribuire a una perizia amm. esterna. Accertata l'esistenza di risposte contraddittorie, soprattutto dal profilo ortopedico,la causa è stata rinviata all'assicuratore affinché invitasse il centro peritale a chiarire le contraddizioni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giugno 2019 si applica il diritto anteriore. In concreto, il ricorso è del 1° febbraio 2021 per cui si applica la nuova disposizione legale. Trattandosi di una controversia relativa a prestazioni LAINF, il legislatore non ha previsto di prelevare le spese.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