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35.2020.98 vom 26. April 2021</w:t>
      </w:r>
    </w:p>
    <w:p>
      <w:r>
        <w:t>TI Tribunale d'appello, 2021-04-26, IT</w:t>
      </w:r>
    </w:p>
    <w:p>
      <w:r>
        <w:rPr>
          <w:b/>
        </w:rPr>
        <w:t xml:space="preserve">Quelle: </w:t>
      </w:r>
      <w:r>
        <w:t>https://mcp.opencaselaw.ch/entscheid/ti_gerichte_35.2020.98</w:t>
      </w:r>
    </w:p>
    <w:p>
      <w:r>
        <w:t>FR: TI_GERICHTE 35.2020.98 du 26 avril 2021</w:t>
      </w:r>
    </w:p>
    <w:p>
      <w:r>
        <w:t>IT: TI_GERICHTE 35.2020.98 del 26 aprile 2021</w:t>
      </w:r>
    </w:p>
    <w:p>
      <w:pPr>
        <w:pStyle w:val="Heading2"/>
      </w:pPr>
      <w:r>
        <w:t>Regeste</w:t>
      </w:r>
    </w:p>
    <w:p>
      <w:r>
        <w:t>STCA arti inferiori. Stabilizazzione. Nessun diritto alla rendita. Decisione su opposizione confermata</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2.3.2.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2.3.3.   Con la decisione su opposizione impugnata, sentito il parere del proprio medico di __________, l’CO 1 ha dichiarato che, a contare dal luglio 2020, non vi erano più provvedimenti terapeutici suscettibili di migliorare notevolmente le condizioni di salute infortunistiche dell’insorgente e, pertanto, ha posto termine alle prestazioni di corta durata. Dalle carte processuali si evince in particolare che, a causa di persistenti dolori, di una residua instabilità alla rotazione e di una ipomiotrofia quadricipitale, su richiesta del medico di __________ (doc. 121), l’assicurato è stato visitato il 24 febbraio 2020 dal PD Dr. med. __________, Primario della Clinica di ortopedia e traumatologia dell’Ospedale cantonale di __________ (doc. 150). Nel relativo rapporto del 25 marzo 2020 (doc. 150), lo specialista in questione ha rilevato quanto segue: " (…). Bei dem Patienten besteht einerseits eine Rotationsinstabilität; andererseits Schmerzen nach einer zweiten LARS-Bandrekonstruktion des vorderen Kreuzbandes links. Die Rotationsinstabilität erachten wir am ehesten aufgrund der sehr steil platzierten Bohrkanäle. Trotz Physiotherapie und intermittierender Schmerzmitteleinnahme wird die Beschwerdesituation nicht besser. Bezüglich der Restinstabilität bestünde die Möglichkeit, mittels Re-Revisionschirurgie und Rekonstruktion des vorderen Kreuzbandes mit gegebenenfalls posterolateraler Rekonstruktion diese zu verbessern. Wie die Beschwerdesituation des Patienten sich beim dritten Eingriff auswirkt, ist jedoch nicht klar eruierbar. Würde man sich für eine erneute Rekonstruktion entscheiden, müsste vor dem operativen Eingriff ein CT des linken, mehrfach voroperierten Knies durchgeführt werden zur Analysierung der genauen Lokalisation der Bohrkanäle und Planung des Eingriffes mit Frage, ob man in einer zweizeitigen oder einzeitigen Re-Re-Rekonstruktion des vorderen Kreuzbandes vorgehen muss. Ob durch ein erneutes operatives Vorgehen etwas an der Arbeitsfähigkeit des Patienten geändert werden kann ist schwierig vorhersehbar und scheint eher fraglich. Idealerweise hätte der Patient eine körperlich weniger belastende, leichte Tätigkeit. Auch dies wird dem Patienten so kommuniziert und er wird sich Gedanken machen über das weitere Vorgehen. (…)” (doc. 150, pag. 2). L’amministrazione ha quindi nuovamente sottoposto l’incarto al medico di __________, il quale, con nota del 16 aprile 2020, dopo avere affermato che lo stato di salute era stabilizzato, ha precisato che “ l’intervento potrà migliorare in parte la stabilità ma non si sa quanto e soprattutto questo non darà capacità lavorativa piena in ogni caso. L’intervento non è esigibile, per cui per prima cosa l’assicurato deve decidere cosa fare, poi evt. se decide no, si può proporre capacità lavorativa ed IMI con apprezzamento o visita medica .” (doc. 154). In seguito, nel rapporto del 25 maggio 2020 relativo alla visita di chiusura del 19 maggio 2020 (doc. 178), il dr. med. __________, specialista FMH in chirurgia, ha confermato l’intervenuta stabilizzazione dello stato clinico del ginocchio dell’assicurato, osservando in particolare quanto segue: " (…). Proposte diagnostiche e terapeutiche Al momento attuale l'intervento proposto dal PD dr. med. __________, anche a sua detta, non è detto che comporti un guadagno adeguato perlomeno atteso dall'assicurato, un cambio di attività potrebbe essere forse la cosa più logica. Si concorda con tale procedere, l'assicurato anche, in caso di aggravamento potrà sempre riaprire il caso. Aspetti medico-assicurativi Al momento attuale risulta inabile all'attuale attività lavorativa, mentre risulta abile al 100% per la seguente esigibilità lavorativa. (…).” (doc. 178, pag. 3 e 4) A fronte della stabilizzazione dello stato di salute dell’assicurato accertata dal medico __________, l’CO 1 ha comunicato a RI 1 la chiusura del caso (con sospensione delle prestazioni di corta durata) a decorrere dal 1° luglio 2020 (doc. 170). L’assicurato ha contestato il 16 giugno 2020 la chiusura del caso (doc. 196) ed il 2 luglio 2020 ha trasmesso all’amministrazione il referto del dr. med. __________, specialista in ortopedia e traumatologia, chirurgia del ginocchio e traumatologia dello sport, presso l’Istituto __________ di __________ (__________) da lui privatamente consultato e che prospettava un “ proseguimento del percorso di cura con: - intervento chirurgico di artroscopia ginocchio sinistro per bonifica articolare. ” (cfr. doc. 204). L’amministrazione ha quindi nuovamente interpellato il medico di __________ il quale, con nota del 6 luglio 2020, ha rilevato che l’intervento proposto non era indicato e non poteva migliorare l’esigibilità lavorativa espressa e che non c’erano fatti nuovi che facessero sì che l’CO 1 dovesse rivedere la propria presa di posizione (doc. 206). Nel successivo apprezzamento medico del 31 agosto 2020 (doc. 217), il medico __________ ha puntualizzato quanto segue: " (…) Circa le lamentele del signor RI 1 credo che vi sia stato un fraintendimento del discorso, in quanto se si guarda l'ultima visita medico-__________ è ben spiegato che l'assicurato ha subito ben due interventi di ricostruzione del crociato e proprio rendendosi conto della situazione con una sintomatologia ben definita dovuta alla instabilità rilevata in tutti i controlli ortopedici, è stato inviato all'attenzione del PD dr. med. __________ a __________, per avere un parere universitario che potesse cercare di risolvere i problemi dell'assicurato. Nella visita del 24.02.2020 il PD dr. med. __________ riconosce che l'instabilità rotazionale, è molto probabilmente causata da un problema di canali di trivellazione molto più ripidi. La situazione del dolore non migliorava con l'uso di antidolorifici quindi è vero che c'era la possibilità di una chirurgia di revisione e di ricostruzione del legamento crociato anteriore, ma lui stesso non dava certezze di una procedura chirurgica che potesse cambiare certamente la capacità di lavoro dell'assicurato per cui, idealmente il PD dr. med. __________ riferisce che avrebbe avuto più senso il lavoro meno stressante e più leggero. Nella visita __________ peraltro lo stesso assicurato era incerto sull'effettuare ulteriore intervento senza garanzie complessive, pertanto il medico di __________ ha visitato personalmente l'assicurato e l'articolarità comunque risultava ottima 135-0-0° con uno stop algico lieve alla massima articolarità, il cassetto era positivo ma con arresto rigido, era presente una ipomiotrofia rispetto al ginocchio destro a livello quadricipitale. Questa è l'obbiettività che collima con tutte le visite effettuate compresa l'ultima visita citata dall'assicurato presso la Clinica __________ che riconosce un'articolarità pressoché normale. L'instabilità è un'instabilità dolorosa ma parziale che comunque sia non rende completamente invalido per qualunque tipo di lavoro l'assicurato, tanto è vero che si è ritenuto in accordo con quanto scriveva il PD dr. med. __________ di valutare una limitazione funzionale e un cambio di attività. È’ stata quindi certificata una inabilità all'attuale attività lavorativa, mentre è stata stilata un'esigibilità rispettosa nella situazione dell'assicurato, dove peraltro viene evitata un'attività che possa sollecitare abbondantemente il ginocchio. Da rilevare anche che, proprio rispetto a tale esigibilità stato dall'amministrazione ricontattato il datore di lavoro, in data 17.06.2020 dove viene data conferma che l'assicurato può lavorare in un'attività adeguata in misura completa. Il datore di lavoro riferisce che aveva proposto un'attività di guida e di magazzino e l'assicurato avrebbe risposto di non poter svolgere alcuna attività professionale a causa della salute, pertanto vi è un rifiuto preconcetto da parte dell'assicurato ad una nuova attività con una pretesa di nuove cure che possono certamente condurre alla guarigione. Nulla osta alla possibilità di una revisione chirurgica purché questa possa comportare con un'adeguata garanzia di certezza una garanzia di miglioramento. Chiaramente il medico __________ si è attenuto all'autorevole parere del PD dr. med. Koch per quanto riguarda la possibilità di un nuovo intervento, ma anche con l'assenza di quella certezza che altrimenti l'assicurato avrebbe preteso secondo quanto esiste in Letteratura. È stato anche scritto che la pratica poteva sempre essere riaperta in caso ci fossero dei fatti nuovi. I fatti nuovi in questo senso non emergono in quanto il parere della Clinica __________ per mano del dott. med. __________ è perfettamente sovrapponibile al parere del PD dr. med. __________, in effetti nella certificazione dell'__________ non vi è alcuna dichiarazione di garanzia in tal senso, non si descrive nemmeno il tipo di intervento se non il semplice accesso artroscopico. L'intervento quindi in pratica non è esigibile al pari di quanto detto dal Prof. __________ secondo quanto emerso dalla documentazione agli atti. Vi è quindi una possibilità di lavoro in mansioni diverse, in attività rispettose di questa leggera instabilità. (…)” (doc. 217, pag. 3 e 4). A margine del colloquio telefonico del 28 settembre 2020, intercorso tra la competente funzionaria dell’CO 1 e l’assicurato, quest’ultimo ha comunicato di “… aver ripreso il lavoro al 100%, inizialmente è esonerato da alcune mansioni ma l’idea è quella di riprendere la sua attività. Lavora in magazzino, pulisce i mezzi, e svolge altre attività come prima. Il ginocchio va bene, non ha particolari problemi. Ha quindi deciso di non operarsi, preferisce lavorare . Vede che sta reagendo bene . A volte con l’ausilio di una ginocchiera se necessario. Chiediamo cosa intende fare in merito all’opposizione. Spiega che lui la ritira, ma chiede un sostegno per i mesi di luglio e agosto, in quanto non ha lavorato e non ha percepito nessuna indennità.” (doc. 219 – il corsivo è della redattrice). Da ultimo, dal messaggio di posta elettronica del 29 settembre 2020 inviato all’CO 1 dalla moglie del ricorrente a seguito della conversazione telefonica appena menzionata, emerge quanto segue: " (…) in seguito alla telefonata intercorsa ieri con mio marito le comunico quanto già detto da lui. Mio marito ha deciso che per il momento rinvierà l’operazione per ragioni personali , come indicato da lei qualora in futuro dovessero insorgere nuovamente problematiche relative all’infortunio sarà comunque sostenuto da voi. Detto ciò è Ns./Sua intenzione ritirare l’opposizione fatta purché gli venga riconosciuto l’indennità anche per il mese di luglio e agosto (come da certificato inviato) e come era stato indicato nei documenti di AI (inabilità al 100% fino al 31/08/2020). (…)”. (doc. 220 - il corsivo è della redattrice) Ora, alla luce di quanto emerge dalla documentazione medica a disposizione - segnatamente dal rapporto</w:t>
      </w:r>
    </w:p>
    <w:p>
      <w:r>
        <w:rPr>
          <w:b/>
        </w:rPr>
        <w:t>E. 25</w:t>
      </w:r>
    </w:p>
    <w:p>
      <w:r>
        <w:t>marzo 2020 del PD Dr. med. __________ (cfr., in particolare, doc. 150, pag. 2: “ Wie die Beschwerdesituation des Patienten sich beim dritten Eingriff auswirkt, ist jedoch nicht klar eruierbar . (…). Ob durch ein erneutes operatives Vorgehen etwas an der Arbeitsfähigkeit des Patienten geändert werden kann ist schwierig vorhersehbar und scheint eher fraglich. Idealerweise hätte der Patient eine körperlich weniger belastende, leichte Tätigkeit. Auch dies wird dem Patienten so kommuniziert und er wird sich Gedanken machen über das weitere Vorgehen. ”), dall’apprezzamento 31 agosto 2020 del medico di __________ (cfr., in particolare, doc. 217, pag. 4: “ (…) il parere della Clinica __________ per mano del dott. med. __________ è perfettamente sovrapponibile al parere del PD dr. med. __________, in effetti nella certificazione dell'__________ non vi è alcuna dichiarazione di garanzia in tal senso, non si descrive nemmeno il tipo di intervento se non il semplice accesso artroscopico. L'intervento quindi in pratica non è esigibile al pari di quanto detto dal Prof. __________ secondo quanto emerso dalla documentazione agli atti. Vi è quindi una possibilità di lavoro in mansioni diverse, in attività rispettose di questa leggera instabilità. (…) ” e dal tenore del colloquio telefonico del 28 settembre 2020, nel corso del quale il ricorrente aveva riferito di un decorso finalmente positivo e, pertanto, della sua decisione di rinunciare a sottoporsi a ulteriori interventi chirurgici, concretamente a quello prospettatogli dal dott. __________ (cfr. doc. 219), ribadito che, s econdo la giurisprudenza federale, la questione della stabilizzazione va valutata in maniera prospettica , ponendosi al momento in cui le prestazioni sono state interrotte (dunque, in casu , nel mese di luglio 2020), occorre ritenere dimostrato che al momento in cui l’amministrazione ha posto termine alle prestazioni di corta durata, non vi erano più misure terapeutiche atte, con verosimiglianza preponderante, a migliorare notevolmente le condizioni di salute infortunistiche dell’insorgente. In simili circostanze, il TCA non convide la censura ricorsuale, giusta la quale “ per risolvere il problema del suo assistito sarebbe necessario un intervento, che però, a torto, non è stato autorizzato dall’CO 1. ” (doc. I, pag. 5), che viene, pertanto, respinta. Da notare che la consultazione presso i dottori __________ e __________, di cui alle certificazioni prodotte sub doc. H/II e H/III, ha avuto luogo in data 17 novembre 2020, quindi posteriormente al sinistro del 12 ottobre 2020, così come è il caso per l’intervento artroscopico eseguito nel febbraio 2021 presso l’__________ di __________ (cfr. doc. XII 2, p. 2: “Rimozione mezzi di osteosintesi e legamento artificiale pro LCA ginocchio sinistro”). Ora, ricordato che, ancora il 28 settembre 2020, lo stesso insorgente aveva dichiarato che il ginocchio sinistro non gli procurava più “ particolari problemi ”, tanto dall’essere riuscito nel frattempo a riprendere il proprio lavoro in misura completa e da rinunciare a sottoporsi all’operazione prospettatagli dal dott. __________ (artroscopia con “ bonifica articolare ” - cfr. doc. 213, 219 e 220), occorre concludere che gli elementi che emergono da quei documenti vanno semmai considerati nell’ambito della decisione sull’assunzione dell’evento dell’ottobre 2020, ma non hanno rilevanza in relazione alla questione - oggetto della presente procedura – riguardante la stabilizzazione dello stato di salute infortunistico dal luglio 2020. In questo senso, non può essere ignorato come, a titolo di anamnesi, i sanitari dell’istituto __________ abbiano affermato che l’assicurato il 12 ottobre 2020 è rimasto vittima di un trauma distorsivo al ginocchio sinistro e che gli accertamenti clinico-strumentali eseguiti in seguito hanno evidenziato la rottura del legamento crociato anteriore artificiale con indicazione a procedere a un’artroscopia di debridement e rimozione del LCA, prima di un’eventuale ricostruzione del medesimo (doc. XII 2, p. 1). In questo contesto, è inoltre utile sottolineare che, nel febbraio 2020, il dott. __________ aveva imputato l’instabilità rotatoria piuttosto a un errato posizionamento dei fori di perforazione (“ Die Rotationsinstabilität erachten wir am ehesten der sehr steil platzierten Bohrkanäle .”), in presenza di un LCA visibile in tutta la sua lunghezza (“ in seiner Länge ”) nelle immagini relative alla RMN del 15 ottobre 2019 (cfr. doc. 150, p. 2). In queste condizioni, il TCA non può che confermare la decisione su opposizione impugnata, perlomeno nella misura in cui sancisce che il 1° luglio 2020, lo stato di salute infortunistico era stabilizzato ai sensi dell’art. 19 cpv. 1 LAINF. Data la stabilizzazione delle condizioni di salute infortunistiche, l’assicuratore LAINF convenuto era legittimato a porre fine alle prestazioni di corta durata (cura medica + indennità giornaliera) e a valutare il diritto a quelle di lunga durata, in particolare alla rendita d’invalidità.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chiarire la questione riguardante l'esigibilità lavorativa, l'Istituto assicuratore ha fatto capo alla visita medica del 19 maggio del dr. med. __________, specialista FMH in chirurgia (doc. 178), giusta il quale: " Aspetti medico-assicurativi Al momento attuale risulta inabile all'attuale attività lavorativa, mentre risulta abile al 100% per la seguente esigibilità lavorativa. Esigibilità del lavoro Nessuna limitazione nel portare pesi leggeri o molto leggeri fino a 5 - 10 kg fino all'altezza dei fianchi, talvolta può sollevare pesi medi, di rado pesi pesanti fino all'altezza dei fianchi o molto pesanti. Nessuna limitazione per sollevare oltre l'altezza del petto fino a 5 kg e anche più di 5 kg. Nessuna limitazione nel lavoro leggero e di precisione o medio, di rado può effettuare lavoro pesante e manuale rozzo, mai piò effettuare lavoro molto pesante e la rotazione della mano è consentita senza problemi. Nessuna limitazione per i lavori sopra la testa, per la rotazione del tronco, per la posizione seduta e inclinata in avanti, posizione in piedi e inclinata in avanti. Di rado può effettuare lavori che compartano la flessione delle ginocchia, mai può tenere la posizione inginocchiata. Nessuna limitazione per la posizione seduta e in piedi e di libera scelta. Nessuna limitazione a camminare fino a 50 m e anche oltre i 50 m, talvolta può camminare per lunghi tratti, di rado può camminare su terreno accidentato. Molto spesso può salire le scale e molto spesso può salire su scale a pioli. L'uso delle due mani è consentito senza nessuna limitazione, così come lo stare in equilibrio.” (doc. 178, pag. 4). Nella concreta evenienza questo Tribunale ritiene corretta l'esigibilità stabilita dal medico fiduciario - specialista nella materia che qui ci occupa - e posta alla base della decisione avversata. Del resto, gli impedimenti funzionali che presenta l’insorgente, sono quelli che si riscontrano, usualmente,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e STCA 35.2018.69 dell’11 febbraio 2019, consid. 2.3.5). Va anche segnalato che, nella STF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cfr. STCA 35.2018.69 dell’11 febbraio 2019, consid. 2.3.5). Si può, quindi, senz'altro ipotizzare che il ricorrente sia in grado di mettere a frutto la sua residua capacità lavorativa in attività professionali più leggere da un profilo dell'impegno fisico rispetto a quella originariamente esercitata (di "operaio edile").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a tempo pieno e con un rendimento completo, un'attività lavorativa compatibile con le limitazioni derivanti dal danno alla salute infortunistico. 2.5.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2020 (data di stabilizzazione dello stato di salute: 1° luglio 2020: cfr. consid. 2.3.3). 2.6.   Per quanto concerne il reddito da valido , secondo l’assicuratore infortuni resistente, senza il danno infortunistico, RI 1, avrebbe realizzato nel 2020 un guadagno annuo lordo di fr. 57'455.- (cfr. doc. 200 e 225). L’amministrazione ha puntualizzato che il salario minimo CCL gessatori (classe 5) è rispettato e che, pertanto, non viene applicato il gap salariale (doc. 199). A questo proposito giova qui ricordare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Giova qui pure ricordare che questa Corte non ha applicato alcuna riduzione a titolo di gap salariale nella STCA 35.2017.121 del 20 marzo 2018, consid. 2.2.6, considerato che in quel caso i dipendenti della società ( nazionale ) in questione sottostavano a un proprio contratto collettivo di lavoro e venivano retribuiti nel rispetto dei salari minimi ivi previsti (cfr. STA 35.2018.69 dell’11 febbraio 2019, consid. 2.3.10). Stante quanto precede il dato di fr. 57'455.-, desunto dalle indicazioni fornite direttamente dal datore di lavoro (doc. 189, 198 e 199) e non contestato dal ricorrente, può senz’altro essere fatto proprio da questa Corte. Il " reddito da valido " per il 2020 ammonta quindi a fr. 57'455.- .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9C_535/2014 del 31 ottobre 2019; STF 8C_190/2019 del 12 febbraio 2020).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(il corsivo è della redattrice; STCA 35.2020.67 dell’8 marzo 2021, consid. 2.4.7). 2.8.   Nella presente fattispecie, l’istituto assicuratore resistente ha quantificato in Fr. 68'446.-, determinato sulla base della TA1 2018, attività semplici e ripetitive, livello 1, uomini, fr. 67'766.67, aggiornato al 2020, senza applicare alcuna deduzione sociale ex DTF 126 V 80 (doc. 200). Il patrocinatore dell’assicurato ritiene che, dato lo stato attuale del danno alla salute del suo cliente, non possa essere un teorico salario annuo di fr. 68'446.- quale reddito da invalido (cfr. doc. I, pag. 6). In sostanza egli non ha contestato il reddito da invalido di fr. 68'446.-, determinato dall’amministrazione, quanto piuttosto che il suo assistito presenti una capacità lavorativa residua del 100% in attività adeguata che, tuttavia, come si è visto al consid. 2.4.3, è stata confermata dal TCA.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La più recente giurisprudenza federale ha peraltro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 Bernasconi, “8C_9/2020 du 10 juin 2020 - Abattement sur le revenu d’invalide selon l’ATF 126 V 75”, in SZS/RSAS 1/2021 n. 49; STCA 35.2020.51 dell’8 febbraio 2021, consid. 2.9).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Per quanto concerne la deduzione sociale del 5% per attività leggere e per svantaggi salariali derivanti da contingenze particolari operata in ambito AI (doc. 182; cfr. consid. 1.4),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STCA 32.2020.25 del 2 ottobre 2020, consid. 2.6; STCA 35.2020.51 dell’8 febbraio 2021, consid. 2.5).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Il " reddito da invalido " ammonta, quindi, per il 2020 a fr. 68'446.- . 2.9.   Il grado di invalidità del ricorrente (stabilito confrontando i fr. 68'446.- annui al reddito che egli avrebbe potuto conseguire se non fosse intervenuto il danno alla salute infortunistico, e cioè fr. 57'455.-: cfr. consid. 2.6 -) è nullo. Va qui la pena di ricordare la STF 8C/215_2015 del 17 novembre 2015 ove il TF ha confermato un salario da valido di fr. 57'600.- e un salario da invalido di fr. 60'463.- fissato sulla base del metodo delle DPL, osservando - in particolare al consid. 4.2 - quanto segue: " (…) Die CO 1 ermittelte aufgrund der DAP-Zahlen ein Invalideneinkommen von Fr. 60'463.-. Vergleicht man diesen Wert mit dem von der CO 1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e la STCA 35.2020.51 dell’8 febbraio 2021, consid. 2.10). 2.10.   Da ultimo, attentamente vagliato l’insieme della documentazione agli atti, il TCA, non ravvisa nel modo in cui ha proceduto l’amministrazione alcuna violazione procedurale, alcuna disattenzione dell’obbligo di informare l’assicurato, alcuna violazione del diritto di essere sentito dell’assicurato. Le censure ricorsuali sollevate al riguardo, peraltro in maniera piuttosto generica, dall’avv. __________ nel gravame sono, quindi, respinte. 2.11.   In conclusione la decisione su opposizione contestata deve essere confermata. 2.12.   A fronte di una situazione ritenuta sufficientemente chiarita (cfr. considerandi precedenti), il TCA rinuncia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