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35.2020.92 vom 29. März 2021</w:t>
      </w:r>
    </w:p>
    <w:p>
      <w:r>
        <w:t>TI Tribunale d'appello, 2021-03-29, IT</w:t>
      </w:r>
    </w:p>
    <w:p>
      <w:r>
        <w:rPr>
          <w:b/>
        </w:rPr>
        <w:t xml:space="preserve">Quelle: </w:t>
      </w:r>
      <w:r>
        <w:t>https://mcp.opencaselaw.ch/entscheid/ti_gerichte_35.2020.92</w:t>
      </w:r>
    </w:p>
    <w:p>
      <w:r>
        <w:t>FR: TI_GERICHTE 35.2020.92 du 29 mars 2021</w:t>
      </w:r>
    </w:p>
    <w:p>
      <w:r>
        <w:t>IT: TI_GERICHTE 35.2020.92 del 29 marzo 2021</w:t>
      </w:r>
    </w:p>
    <w:p>
      <w:pPr>
        <w:pStyle w:val="Heading2"/>
      </w:pPr>
      <w:r>
        <w:t>Erwägungen</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2.4.   Il diritto alle prestazioni risultante da un infortunio assicurato presuppone lesistenza di unnesso di causalità naturaletra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unaconditio sine qua nondel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w:t>
      </w:r>
    </w:p>
    <w:p>
      <w:r>
        <w:t>2.5.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(status quo ante) oppure se ha raggiunto lo stadio che sarebbe prima o poi subentrato anche senza l'infortunio (status quo sine) (RAMI 1992 U 142 p. 75 consid.4b; A. Maurer, Schweizerisches Unfallversicherungsrecht, p. 469; U. Meyer-Blaser, Die Zusammenarbeit von Richter und Arzt in der Sozialversicherung,inBollettino dei medici svizzeri 71/1990, p. 1093).</w:t>
      </w:r>
    </w:p>
    <w:p>
      <w:r>
        <w:t>Il solo fatto che la sintomatologia sia apparsa soltanto dopo un infortunio, non basta per stabilire un rapporto di causalità naturale con questo medesimo infortunio (ragionamento post hoc, ergo propter hoc; cfr. DTF 119 V 335 consid. 2b/bb p. 341s.; RAMI 1999 U 341 p. 408s. consid. 3b).</w:t>
      </w:r>
    </w:p>
    <w:p>
      <w:r>
        <w:t>2.6.   Chiamato a pronunciarsi, nel caso di specie, il TCA constata che lassicurato è chiaramente rimasto vittima di un infortunio ai sensi dellart. 4 LPGA - circostanza incontestata  riportando una lesione alla spalla destra rientrante nellelenco previsto dallart. 6 cpv. 2 LANF.</w:t>
      </w:r>
    </w:p>
    <w:p>
      <w:r>
        <w:t>Ora, al riguardo, occorre rilevare che in una sentenza di principio 8C_22/2019 del</w:t>
      </w:r>
    </w:p>
    <w:p>
      <w:r>
        <w:rPr>
          <w:b/>
        </w:rPr>
        <w:t>E. 24</w:t>
      </w:r>
    </w:p>
    <w:p>
      <w:r>
        <w:t>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w:t>
      </w:r>
    </w:p>
    <w:p>
      <w:r>
        <w:t>2.7.   Nella decisione su opposizione impugnata, l'assicuratore infortuni ha ritenuto che l'evento dell11 novembre 2019 ha scompensato uno stato patologico preesistente e che lostatus quo sinepoteva essere considerato ragionevolmente raggiunto a partire dal 17 marzo 2020, facendo capo ai pareri del proprio medico fiduciario (cfr. doc. 32, 55 e 77).Interpellato dallamministrazione in merito alla proposta di intervento chirurgico avanzata dal dr. __________ il 27 febbraio 2020, in data 13 marzo 2020 il dr. __________, specialista FMH in chirurgia, ha, infatti, considerato che il danno alla salute oggetto delloperazione auspicata dal curante  vale a dire la rottura del sovraspinato e lieve lesione intratendinea clb e sottoscapolare  non fosse imputabile, secondo il criterio della probabilità preponderante, allinfortunio dell11 novembre 2019, in quanto larticolazione risultava nettamente degenerata.</w:t>
      </w:r>
    </w:p>
    <w:p>
      <w:r>
        <w:t>A suo parere, pertanto, i postumi infortunistici non giocavano più alcun ruolo secondo il principio della probabilità preponderante a due mesi dal trauma (cfr. doc. 32).</w:t>
      </w:r>
    </w:p>
    <w:p>
      <w:r>
        <w:t>Con annotazione del 15 giugno 2020 il dr. __________, esprimendosi riguardo alle considerazioni del dr. __________, ha ribadito la propria opinione, rilevando quanto segue:</w:t>
      </w:r>
    </w:p>
    <w:p>
      <w:r>
        <w:t>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2.10.   Nella concreta evenienza, attentamente vagliato linsieme della documentazione medica agli atti, questo Tribunale ritiene che il parere espresso nellapprezzamento medico del 14 settembre 2020 dal dr. __________, specialista nella materia che qui ci occupa, possa essere considerato pienamente probante in quanto dettagliato, approfondito e quindi rispecchiante i parametri giurisprudenziali sopra ricordati (cfr. consid. 2.9.) e, di conseguenza, possa validamente costituire da base al giudizio che è ora chiamato a rendere.</w:t>
      </w:r>
    </w:p>
    <w:p>
      <w:r>
        <w:t>Il TCA condivide la conclusione alla quale è pervenuto il medico fiduciario dellamministrazione,il quale ha, in maniera motivata e convincente, spiegato le ragioni per le quali, sulla base delle inequivocabili risultanze degli esami strumentali effettuati (e meglio: MR spalla destra nativa del 2 gennaio 2020, cfr. doc. 29), si deve concludere che levento dell11 novembre 2019 abbia slatentizzato e prodotto un aggravamento unicamente temporaneo di una situazione degenerativa già da tempo presente, seppure in forma silente e asintomatica, con il raggiungimento dellostatus quo sineda situare a due mesi dall'episodio iniziale (cfr. doc. 32, 55, 77).</w:t>
      </w:r>
    </w:p>
    <w:p>
      <w:r>
        <w:t>In tale ambito, il TCA non ignora i certificati medici del dr. __________, prodotti dallassicurato a dimostrazione della natura infortunistica delle proprie lesioni.</w:t>
      </w:r>
    </w:p>
    <w:p>
      <w:r>
        <w:t>Essi, tuttavia, non si confrontano minimamente con le risultanze degli esami strumentali, né con le considerazioni espresse dal dr. __________ e, neppure, con il fatto che l'assicurato possa (o meno, così come sostanzialmente asserito dal patrocinatore dell'interessato) aver raggiunto lostatus quo sine.</w:t>
      </w:r>
    </w:p>
    <w:p>
      <w:r>
        <w:t>Il dr. __________, come visto, si è difatti limitato ad attestare unicamente linesistenza di disturbi allarto superiore destro prima dellevento, circostanza che, unitamente alla relativamente giovane età dellinteressato, porterebbero - a suo modo di vedere - a concludere, con alta probabilità, per unorigine traumatica delle lesioni riscontrate alla spalla destra.</w:t>
      </w:r>
    </w:p>
    <w:p>
      <w:r>
        <w:t>Ora, entrambe tali obiezioni sono state analizzate  e respinte  dal dr. __________, il quale ha esaurientemente spiegato per quali ragioni le lesioni alla spalla destra vadano considerate ampiamente preesistenti, seppure silenti (come dimostrato dallesame RM) e siano, poi, state slatentizzate e peggiorate temporaneamente dallevento traumatico del novembre 2019.</w:t>
      </w:r>
    </w:p>
    <w:p>
      <w:r>
        <w:t>Al riguardo, va ribadito chela regola post hoc, ergo propter hoc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8C_248/2019 del 15 ottobre 2019;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w:t>
      </w:r>
    </w:p>
    <w:p>
      <w:r>
        <w:t>Quanto, poi, alle obiezioni sollevate dal legale dellassicurato riguardo alla relativamente giovane età dellassicurato (44 anni al momento dellinfortunio) e al fatto che prima dellevento lo stesso fosse asintomatico, è utile segnalare che il TCA, nellambito della causa sfociata nella sentenza 35.2001.1 del 30 ottobre 2002, ha ordinato una perizia medico-giudiziaria di livello universitario, nella quale il perito ha espresso le seguenti considerazioni sul tema delleziologia delle rotture della cuffia rotatoria, sottolineando, in particolare, che il naturale processo degenerativo della cuffia ha inizio già prima dei trentanni dietà e che lincidenza di rotture parziali o totali cresce dopo i quarantanni, arrivando tra i cinquanta e i sessantanni sino al 30%, anche in soggetti asintomatici:</w:t>
      </w:r>
    </w:p>
    <w:p>
      <w:r>
        <w:t>"() La réponse à la question de savoir si et sous quelle forme existe des ruptures accidentelles de la coiffe des rotateurs qui satisfont aux conditions requises à leur prise en charge est basée sur des connaissances ayant trait à l'étiologie, la pathogenèse et l'histoire naturelle des différentes formes de lésions ou pertes de substances de la coiffe des rotateurs. La genèse de pertes de substances de la coiffe des rotateurs est multifactorielle. Elle inclut des mécanismes extrinsèques (macrotraumatisme, microtraumatisme répétitif, conflit sous-acromial) et des mécanismes intrinsèques tel que l'hypovascularité et la dégénération primaire due au vieillissement naturel du tendon. La coiffe des rotateurs est soumise au fil du phénomène naturel du vieillissement à un processus dégénératif. Quoique le vieillissement biologique ne soit pas dépendant de l'âge chronologique, il est néanmoins admis de façon unanime que les pertes de substances de la coiffe s'accroissent avec l'âge en ce qui concerne leur fréquence, leur épaisseur et leur étendue. Sur le plan microscopique, ce processus de dégénération débute déjà avant l'âge de 30 ans. Cependant, les lésions sont rares avant l'âge de 35 à 40 ans mais leur nombre s'accroît dans la 5ème décennie pour aboutir après 50 ans aux pertes de substances totales transfixantes. Entre 50 et 60 ans, même chez des sujets asymptomatiques, il est possible de démontrer jusqu'à 30% des cas de pertes de substances partielles ou complètes de la coiffe des rotateurs. Cette solution de continuité de la coiffe des rotateurs n'est pas subite mais s'installe de façon graduelle et progressive au fil des mois et des années. Cette dégénération est due à une diminution de la perfusion provoquant une atrophie continuelle du tissu tendineux. Cette diminution de perfusion peut être accentuée par des facteurs extrinsèques comme par des protusions osseuses (ostéophytes au niveau acromio-claviculaire, acromion en forme de crochet de type III).</w:t>
      </w:r>
    </w:p>
    <w:p>
      <w:r>
        <w:t>Chez des sujets au-dessus de 40 ans, la coiffe des rotateurs n'a très probablement aucune possibilité de régénération. Par la suite, les fibres tendineuses perdent de force et avec les années le tendon s'élargit et s'amincit. A ce stade là, dans la majorité des cas, les premiers symptômes apparaissent en général sous forme de douleurs nocturnes et ensuite par la diminution de la force du membre intéressé etpseudoparalyse.(cfr. STCA 35.2017.62 del 2 ottobre 2017, consid. 2.9)</w:t>
      </w:r>
    </w:p>
    <w:p>
      <w:r>
        <w:t>Infine, il TCA rileva che la tempistica (due mesi dall'episodio iniziale secondo lapprezzamento del dr. __________, cfr. doc. 32; quattro mesi (ossia dall11 novembre 2019 al 17 marzo 2020) secondo quanto, invece, riconosciuto dallassicuratore LAINF nella decisione del 17 marzo 2020, cfr. doc. 33, poi confermata con la decisione su opposizione qui impugnata, cfr. doc. A1), con la quale è stato raggiunto lostatus quo sine vel antein relazione alla contusione subita dallinteressato alla spalla destra risulta plausibile anche alla luce della giurisprudenza federale (cfr., per un caso analogo,STCA 35.2016.77 del 9 gennaio 2017, consid. 2.8, oveè stato confermato il raggiungimento dellostatus quo sine vel antein relazione da una contusione subita dallassicurata alla spalla sinistra a 2 mesi e 21 giorni dell'episodio iniziale).</w:t>
      </w:r>
    </w:p>
    <w:p>
      <w:r>
        <w:t>In unaltra sentenza STF 8C_485/2014 del 24 giugno 2015, il Tribunale federale, annullando quanto deciso dai giudici cantonali, ha confermato la decisione con la quale lamministrazione, fondandosi sul parere del proprio medico di fiducia, aveva considerato raggiunto lostatus quo sinetre mesi dopo la contusione subita dallassicurato alla spalla destra, contusione che aveva scompensato una alterazione preesistente e rimasta fino a quel momento asintomatica.</w:t>
      </w:r>
    </w:p>
    <w:p>
      <w:r>
        <w:t>In esito a tutto quanto precede, il TCA ritiene dimostratochela causalità tra l'episodio traumatico dell11 novembre 2019 e la lesione alla spalla destra dell'assicurato è solo possibile, che il trauma ha causato solamente un aggravamento temporaneo di una situazione degenerativa già presente e sino a lì silente e che lostatus quo sineè stato senz'altro raggiunto al 17 marzo 2020, di modo che, a partire da tale data, lassicuratore resistente era legittimato a sospendere il proprio obbligo a prestazioni in relazione allevento dell11 novembre 2019.</w:t>
      </w:r>
    </w:p>
    <w:p>
      <w:r>
        <w:t>Va infine segnalato che lAlta Corte ha precisato che lassicuratore infortuni non è tenuto a dimostrare lesistenza di unacausa extra-infortunisticaa cui imputare i disturbi accusati dallinteressato (cfr.STF 8C_167/2018 del</w:t>
      </w:r>
    </w:p>
    <w:p>
      <w:r>
        <w:rPr>
          <w:b/>
        </w:rPr>
        <w:t>E. 28</w:t>
      </w:r>
    </w:p>
    <w:p>
      <w:r>
        <w:t>febbraio 2019, STFAU 152/03 del 21 aprile 2005 e riferimenti ivi menzionati;cfr. STCA 35.2017.62 del 2 ottobre 2017, consid. 2.9).</w:t>
      </w:r>
    </w:p>
    <w:p>
      <w:r>
        <w:t>In conclusione, visto quanto sopra, la decisione contestata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