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35.2020.89 vom 26. April 2021</w:t>
      </w:r>
    </w:p>
    <w:p>
      <w:r>
        <w:t>TI Tribunale d'appello, 2021-04-26, IT</w:t>
      </w:r>
    </w:p>
    <w:p>
      <w:r>
        <w:rPr>
          <w:b/>
        </w:rPr>
        <w:t xml:space="preserve">Quelle: </w:t>
      </w:r>
      <w:r>
        <w:t>https://mcp.opencaselaw.ch/entscheid/ti_gerichte_35.2020.89</w:t>
      </w:r>
    </w:p>
    <w:p>
      <w:r>
        <w:t>FR: TI_GERICHTE 35.2020.89 du 26 avril 2021</w:t>
      </w:r>
    </w:p>
    <w:p>
      <w:r>
        <w:t>IT: TI_GERICHTE 35.2020.89 del 26 aprile 2021</w:t>
      </w:r>
    </w:p>
    <w:p>
      <w:pPr>
        <w:pStyle w:val="Heading2"/>
      </w:pPr>
      <w:r>
        <w:t>Erwägungen</w:t>
      </w:r>
    </w:p>
    <w:p>
      <w:r>
        <w:rPr>
          <w:b/>
        </w:rPr>
        <w:t>E. 1</w:t>
      </w:r>
    </w:p>
    <w:p>
      <w:r>
        <w:t>ha effettuato ergoterapia da giungo 2019 a febbraio 2020, quado il trattamento è stato interrotto perché non più riconosciuto dalla CO 1. Negli ultimi sei mesi la situazione è rimasta invariata. Il signor RI 1 riferisce di accusare fitte continue al II dito della mano sx, con dolori provocati anche solo dallo sfioramento della cute alla base del dito. Riferisce inoltre un’ipoestesia al polpastrello. Non riesce a piegare ii dito ll della mano sx. Tutte le attività svolte con la mano sx provocano dolori al llº dito. Non riesce a chiudere il pugno, riscontrando difficoltà a flettere le dita Ill, IV e V, dove sono presenti dolori diffusi. II Signor RI 1 riferisce che per le attività manuali l'arto dominante è il sx, mentre per scrivere utilizza la dx. ESAME CLINICO È stato eseguito un esame mirato solo all'arto superiore sx. Le cicatrici chirurgiche sono calme, senza segni di infetto. La mobilità del polso è completa. II IIº dito è mobile solo in corrispondenza dell'articolazione metacarpo-falangea, la mobilità delle articolazioni interfalangee prossimale e distale è praticamente nulla. Lo sfioramento della cute alla base del dito provoca fitte dolorose. La flessione attiva è possibile per il dito Il° fino a 2 cm e per il dito IV fino a 1 cm di distanza polpastrello-palmo, la flessione del dito V è completa. La forza prensile della mano è diminuita. CAPACITÀ LAVORATIVA RESIDUA Per le conseguenze dell'evento del 18.03.19, il Signor RI 1 presenta una funzionalità ridotta della mano sx (arto dominante per le attività manuali). Non può svolgere lavori manuali pesanti, non può svolgere lavori manuali di precisione, per le attività manuali non pesanti e non di precisione è presente una diminuita velocità di esecuzione, dovendo in modo particolare proteggere il lIº dito a causa dell'allodinia. In un'attività che comporti lavori manuali leggeri e non di precisione, il Signor RI 1 può lavorare sull'arco della normale giornata lavorativa al massimo con un rendimento del 75% (incapacità lavorativa del 25%). Può lavorare in misura completa (normale rendimento per il normale tempo di lavoro) solo in attività che non comportano lavori manuali con la mano sx. (…).” (Doc. XI/1) Al riguardo, l’CO 1, nelle osservazioni del 18 dicembre 2020, ha fatto notare che il dr. __________ “ha unicamente una specializzazione in medicina interna”, aggiungendo che “si rammenta che l’assicurato è stato visitato dal dr. __________, specialista in chirurgia ortopedica e dal dr. __________, specialista FMH in chirurgia della mano e del piede. Le diagnosi effettuate dai menzionati specialisti non possono dunque essere messe in discussione, pertanto, la Parte convenuta non può che riconfermarsi nella sua risposta di causa” (cfr. doc. XIII). 2.3.5.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provano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 35 consid. 4b). 2.3.6.   Chiamato a pronunciarsi, questo Tribunale ritiene che la valutazione espressa dal dr. __________ a proposito della residua completa capacità lavorativa dell’interessato nello svolgimento di attività adatte possa validamente costituire da base al giudizio che è ora chiamato a rendere. Il medico fiduciario ha dettagliatamente esposto quale sia l’esigibilità lavorativa, ponendo in particolare in rilievo come l’interessato presenti “molte difficoltà ad eseguire lavori leggeri di precisione e medi con la mano sinistra, mentre compensa con la mano destra che non ha limitazioni” (cfr. doc. 96). Il TCA concorda con l’apprezzamento medico del dr. __________, il quale, del resto, non può essere rimesso in discussione dal referto del dr. __________ prodotto dal legale dell’assicurato in corso di causa. A tale riguardo, questa Corte evidenzia che l’apprezzamento del dr. __________ coincide, di fatto, con la valutazione del dr. __________, avendo lo stesso specialista consultato dal ricorrente attestato come l’interessato possa “lavorare in misura completa (normale rendimento per il normale tempo di lavoro) solo in attività che non comportano lavori manuali con la mano sinistra” (cfr. doc. X/1). Del resto, gli impedimenti funzionali che presenta l’insorgente sono quelli che si riscontrano, usualmente, in assicurati che hanno subito danni ad una mano: in sostanza, si tratta dell’impossibilità di sollevare, rispettivamente, trasportare pesi anche solo relativamente importanti, nonché di svolgere mansioni di precisione. La valutazione dell’esigibilità lavorativa del medico __________ risulta plausibile anche alla luce dei precedenti giurisprudenziali riportati qui di seguito, riguardanti assicurati che hanno lamentato limitazioni nell’utilizzo degli arti superiori e, persino, la totale privazione dell’uso di un arto superiore o di una mano. Ad esempio, in una sentenza inedita del 12 novembre 1996 nella causa I., il TF ha ritenuto realistica la possibilità di mettere a frutto la restante capacità lavorativa in attività alternative,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 con sentenza U 449/00 dell'8 maggio 2002 - questo Tribunale ha dichiarato totalmente abile in attività sostitutive confacenti, specificatamente in professioni nell'esercizio delle quali la mano sinistra, adominante, avesse funzione ausiliaria, un'operaia che, secondo l'avviso dei medici, presentava una mano sinistra infortunata praticamente inutilizzabile, fatta eccezione per delle prese a tre dita senza forza. Il TF è pervenuto alla medesima conclusione in una sentenza U 240/99 del 7 agosto 2001, parzialmente pubblicata in RAMI 2001 U 439, p. 347ss., concernente un assicurato di professione autista che, a causa dei disturbi e dei deficit funzionali all'estremità superiore destra, è stato dichiarato in grado di svolgere a tempo pieno lavori manuali molto leggeri, che non richiedono l'impiego di forza con la mano destra, e il sollevamento di pesi superiori ai 2 kg (e pertanto ritenuto praticamente monco di una mano). In una sentenza 35.2002.88 del 14 aprile 2003 consid. 2.6.,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Nella STF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 giudizio I 27/06 e U 18/06 del 24 agosto 2006 consid. 5.2.3, il TF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In una sentenza 8C_260/2011 del 25 luglio 2011, il TF ha dichiarato in grado di svolgere a tempo pieno attività lavorative leggere non bimanuali, un assicurato che presentava una paralisi, da parziale a completa, della muscolatura della spalla e del braccio destro dominante. In una sentenza 35.2013.74 dell’8 settembre 2014 consid. 2.3.4., cresciuta incontestata in giudicato, questo Tribunale ha accertato l’esistenza di una piena abilità in attività lavorative adeguate, trattandosi di un assicurato che aveva subito l’amputazione dell’avambraccio destro nell’utilizzare una sega circolare.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Analoghe conclusioni sono state ribadite dall’Alta Corte nella STF 8C_462/2020 del 27 agosto 2020, nella quale il TF ha confermato che vi sono sufficienti opportunità realistiche di occupazione sul mercato del lavoro equilibrato, in conformità con la legge, anche per le persone che sono funzionalmente limitate all’uso di un braccio solo e inoltre possono svolgere solo un lavoro leggero (vedi anche sentenze 8C_134/2020 del 29 aprile 2020 consid. 4.5; 8C_227/2018 del 14 giugno 2018 consid. 4.2.1; 8C_37/2016 dell'8 luglio 2016 consid. 5.1.2). In esito alle considerazioni che precedono, questo Tribunale deve, quindi, concludere che l’assicurato, impedito nell’esercizio della sua originaria professione di autista con compiti di carico e scarico merce, conserva comunque, tenuto conto dei soli postumi infortunistici alla mano sinistra, una abilità lavorativa al 100% in attività leggere dal profilo del sollevamento, trasporto di pesi e della manipolazione di attrezzi, che non implichino lavori di precisione con la mano sinistra, reperibili sul mercato generale del lavoro. 2.3.7.   Si tratta, ora, di valutare le conseguenze economiche del danno alla salute infortunistico. Per quanto concerne il reddito da valido , l’amministrazione, nella decisione su opposizione impugnata, ha indicato un importo di fr. 66'956, calcolato in applicazione dei dati statistici della tabella RSS 2020, ramo 49-53, uomo, livello 1 (cfr. doc. A). Il TCA non ha motivo per discostarsi da questo valore - peraltro espressamente considerato corretto dal legale dell’insorgente (il quale in sede ricorsuale ha, invece, contestato il (diverso e inferiore) ammontare preso in considerazione dall’Ufficio AI, sulla base di quanto indicato dal datore di lavoro) - ritenuti i motivi (difficoltà economiche) che hanno portato al licenziamento dell’assicurato con effetto dal 1° gennaio 2020. Al riguardo, va infatti ricordato che, nel caso in cui il posto di lavoro della persona assicurata prima dell'insorgenza del danno alla salute non esiste più al momento determinante della valutazione dell'invalidità, occorre ricorrere ai dati statistici risultanti dalla Rilevazione svizzera della struttura dei salari (RSS) ( cfr. sentenza 9C_329/2014 del 1° luglio 2014 consid. 5.2 con i riferimenti, ancora ribadita nella STF 9C_151/2020 del 5 maggio 2020). 2.3.8.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(“Descrizione dei posti di lavoro”).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32.2007.165 del 7 aprile 2008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Nuove regole per la valutazione dell’invalidità, in: RtiD II-2006, p. 311 seg., in particolare p. 326-327) (…)”. Con sentenza 8C_399/2007 del 23 aprile 2008 al consid. 6.2, il Tribunale federale ha lasciato aperta la questione a sapere se l’adeguamento va ammesso solo nel caso in cui il valore fosse chiaramente sotto la media (“deutliche Abweichung”). Tale è di regola stata ritenuta una differenza del 10% (SVR 2004 UV no. 12 p. 45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p.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ancora dal TF, segnatamente nella DTF 141 V 1 consid. 5. Da notare che, con comunicazione del 19 ottobre 2018, l’CO 1 ha informato il Tribunale federale e tutti i Tribunali cantonali delle assicurazioni che, a partire dal 1° gennaio 2019, avrebbe cessato di utilizzare le DPL, ritenuto che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2.3.9.   Nella presente fattispecie, l’Istituto convenuto ha quantificato in fr. 68’991.96 il reddito da invalido, facendo capo alla tabella TA1 2018, media totale, livello di qualifica 1, uomini (pari a fr. 67’766.67), aggiornato al 2020 (doc. 127). Il TCA non ha motivo per scostarsi da questo dato, risultante dalla corretta applicazione dei dati statistici. Utilizzando i dati forniti dalla tabella RSS 2018 TA 1 , infatti, il salario lordo mediamente percepito in quell'anno dagli uomini per un ' attività semplice di tipo fisico o manuale (ossia il livello 1 di competenze; STF 9C_632/2015 ) per 40 ore settimanali corrisponde ad un importo di fr. 65'004.- (fr. 5 '417 x 12 mesi). Riportando tale dato su 41.7 ore di durata media lavorativa settimanale, il dato statistico corrisponde a fr. 67’766.67 per un impiego a tempo pieno. Dopo adeguamento all'indice dei salari nominali, si ottiene, per il 2019, un reddito annuo di fr. 68'376.57, per il 2020 di fr.  68'991.96. L’amministrazione ha, poi, applicato una deduzione sociale del 5% ex DTF 126 V 80 (cfr. doc. 126). Il patrocinatore dell’assicurato ha contestato l’ammontare della deduzione percentuale applicata dall’amministrazione, ritenuta eccessivamente bassa, chiedendo che la stessa venga innalzata almeno al 20% come, del resto, riconosciuto pure dall’Ufficio AI. A suo modo di vedere, difatti, è inammissibile che l’assicuratore infortuni si scosti dai parametri economici definiti dall’Ufficio AI, a fronte di un danno alla salute esclusivamente di origine infortunistica. Il legale ha giustificato la sua richiesta di riconoscimento di una percentuale di riduzione almeno del 20% con il fatto che l’interessato possa ormai svolgere solo attività leggere (ciò che, secondo l’Ufficio AI, darebbe diritto ad una deduzione del 10%) e, inoltre, facendo rifermento alle limitazioni funzionali e alle limitate competenze professionali (altri elementi che giustificano, secondo l’Ufficio AI, un’ulteriore riduzione del 10%). Inoltre, l’avv. RA 1 ha aggiunto che, vista l’età dell’assicurato (61 anni), sarebbe applicabile un’ulteriore riduzione del 5%, per una deduzione sociale globale del 25% (doc. I). In ossequio alla giurisprudenza federale, occorre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"di tener conto delle varie particolarità che possono influire sul reddito del lavoro" (cfr. DTF 126 V 80 consid. 5b/cc). Il tasso di riduzione rileva dal potere di apprezzamento dell’amministrazione e che può essere rivisto dal giudice solo con riserbo (cfr. DTF 132 V 393 consid. 3.3). Il TCA che, di massima, non può senza motivi pertinenti sostituire il proprio apprezzamento a quello dell’amministrazione (cfr. DTF 137 V 71, consid. 5.2), non ha motivo di scostarsi dalla scelta operata dall’assicuratore LAINF, anche alla luce della più recente giurisprudenza federale (cfr. STF 8C_9/2020 del 10 giugno 2020; 8C_765/2019 del 10 giugno 2020; 8C_730/2019 del 10 giugno 2020). A proposito delle obiezioni ricorsuali riguardanti la presunta violazione del principio dell’uniformità della nozione di invalidità in materia di assicurazioni sociali derivante dalla diversa quantificazione della deduzione sociale applicata al reddito da invalido dall’Ufficio AI, rispettivamente dall’CO 1, questo Tribunale ricorda che, per costante giurisprudenza federale, il Tribunale federale ha ritenuto non vincolante la valutazione dell'invalidità da parte dell'assicurazione infortuni o dell'assicurazione invalidità per l'altro assicuratore (DTF 131 V 362; VSI 2004 pag. 182 consid. 4.3 pag. 186 [I 564/02]; cfr. inoltre pure la sentenza U 148/06 del 28 agosto 2007, consid. 6, pubblicata in DTF 133 V 549). L’Alta Corte ha infatti statuito che l'assicuratore infortuni non è legittimato ad opporsi a una decisione o a ricorrere contro una decisione su opposizione dell'Ufficio AI riguardante il diritto alla rendita in quanto tale o il grado d'invalidità, e la valutazione dell'invalidità dell'assicurazione per l'invalidità non esplica effetti vincolanti nei suoi confronti (DTF 131 V 367 consid. 2.2.). Il medesimo principio vale anche nei confronti dell’Ufficio AI con riferimento alla valutazione effettuata dall’assicuratore infortuni (STF U 148/2006 del 28 agosto 2007, pubblicata in DTF 133 V 549). S uccessivamente il Tribunale federale ha ancora ribadito che, l’assicurazione per l’invalidità non è vincolata alla valutazione dell’invalidità dell’assicurazione contro gli infortuni (cfr. STF 9C_529/2010 del 24 gennaio 2011; DTF 133 V 549 consid. 6; STCA 32.2015.160 del</w:t>
      </w:r>
    </w:p>
    <w:p>
      <w:r>
        <w:rPr>
          <w:b/>
        </w:rPr>
        <w:t>E. 5</w:t>
      </w:r>
    </w:p>
    <w:p>
      <w:r>
        <w:t>ottobre 2016, consid. 2.6, STCA 32.2016.90 del 10 aprile 2017, consid. 2.2 e STCA 35.2017.35 del 30 agosto 2017, consid. 2.3; STCA 32.2017.60 del 19 febbraio 2018, consid. 2.4). Alla luce della chiara giurisprudenza federale, pertanto, la circostanza che l’Ufficio AI abbia operato una riduzione sociale del 20% va qui giudicata inconferente, posto che la valutazione dell’invalidità dell’assicurazione per invalidità non ha effetto vincolante nei confronti dell’assicurazione contro gli infortuni. Gli uffici AI e gli assicuratori contro gli infortuni sono tenuti in ogni caso concreto a valutare in autonomia l’invalidità. In questo senso, essi non possono accontentarsi di semplicemente riprendere il grado d’invalidità stabilito dall’altro assicuratore sociale, senza procedere a un proprio esame. Di conseguenza, l’assicurazione contro gli infortuni (rispettivamente il tribunale) non è nemmeno vincolato all’apprezzamento della riduzione sociale eseguito dall’ufficio AI (cfr. STF 8C_744/2017 del 14 maggio 2018 consid. 5.3 e i riferimenti ivi menzionati – il corsivo è della redattrice). Quanto all’invocata riduzione dettata dagli impedimenti fisici , s econdo la più recente giurisprudenza federale, una tale riduzione si giustifica soltanto se, anche su un mercato del lavoro che si suppone equilibrato, considerati gli impedimenti legati alla persona o al posto di lavoro, non esiste più un ventaglio sufficientemente ampio di attività accessibili alla persona assicurata (cfr. STF 8C_174/2019 del 9 luglio 2019 consid. 5.2.2 e i riferimenti ivi citati). Nel caso di specie, dalla valutazione del dr. __________ emerge che, nonostante il danno salute, l’assicurato sarebbe ancora in grado di svolgere, senza limiti di tempo o di rendimento, un’attività leggera dal profilo dell’impegno fisico, che non implichino lavori di precisione con la mano sinistra (cfr. doc. 96, p. 3: “l’assicurato in un lavoro che rispetti l’esigibilità espressa è da ritenersi abile in misura completa con rendimento completo e senza pause supplementari.”). Secondo questo Tribunale, tenuto conto dell’esigibilità appena descritta, occorre ammettere che il ricorrente beneficia di un ventaglio di attività sostitutive esigibili ancora sufficientemente ampio, motivo per il quale una decurtazione a tale titolo non si giustifica (in questo senso, si vedano, ad esempio, le sentenze citate in precedenza, nella quale sono stati ancora considerati in grado di svolgere a tempo pieno lavori leggeri non bimanuali assicurati praticamente monchi di una mano: sentenza U 240/99 del 7 agosto 2001, parzialmente pubblicata in RAMI 2001 U 439, p. 347ss.; STF U 200/02 del 20 maggio 2003 consid. 2.2; STF 8C_260/2011 del 25 luglio 2011; STCA 35.2013.74 dell’8 settembre 2014 consid. 2.3.4., cresciuta incontestata in giudicato; STCA 35.2017.10 del 22 giugno 2017; STF 8C_462/2020 del 27 agosto 2020; 8C_134/2020 del 29 aprile 2020 consid. 4.5; 8C_227/2018 del 14 giugno 2018 consid. 4.2.1; 8C_37/2016 dell'8 luglio 2016 consid. 5.1.2). In questo contesto, è utile segnalare che l’incapacità per motivi di salute di continuare a svolgere lavori pesanti non implica necessariamente una riduzione del reddito ipotetico da invalido. Il semplice fatto che siano ormai esigibili soltanto dei lavori leggeri non giustifica l’applicazione di una riduzione supplementare, siccome il salario statistico comprende, nel livello di qualifica 1, già un gran numero di attività leggere (cfr. STF 8C_841/2017 del 14 maggio 2018, consid. 5.2.2.2 e riferimenti). Il TCA non può, pertanto, procedere ad una riduzione supplementare per tenere conto del fatto che l’interessato non possa più svolgere attività pesanti, come, invece, preteso dal suo legale (cfr., sul tema, STF 8C_765/2019 del 10 giugno 2020, nella quale l’Alta Corte ha considerato non corretta la deduzione percentuale del 10% riconosciuta dal TCA nel caso di un assicurato che presentava delle limitazioni ad entrambe le spalle). D’altro canto, per quanto attiene al fatto che l’insorgente disporrebbe di competenze professionali limitate , l’Alta Corte ha già avuto modo di precisare che l’assenza di esperienza in taluni ambiti di attività ha poca incidenza sulla rimunerazione percepita per l’esecuzione di mansioni semplici e ripetitive. D’altra parte, qualunque nuovo lavoro presuppone un periodo d’apprendimento, di modo che non vi è spazio per una riduzione a questo titolo del reddito da invalido (cfr., tra le tante, la STF 8C_603/2020 del 4 dicembre 2020 consid. 6.2, 8C_122/2019 del 10 settembre 2019 consid. 4.3.2 e la 8C_46/2018 dell’11 gennaio 2019 consid. 4.4). Per quanto concerne, infine, il fattore età , anche se si volesse ritenere giustificato applicare a tale titolo una decurtazione (del 5%) sul reddito statistico da invalido, e ciò tenuto conto di quanto è stato precisato nella DTF 146 V 16 (si consideri, tuttavia, che la questione di sapere se, in materia di assicurazione obbligatoria contro gli infortuni, il fattore età costituisce un criterio di riduzione oppure se, in questo ambito, l’incidenza dell’età sulla capacità di guadagno deve essere presa in considerazione soltanto nel quadro della norma particolare di cui all’art. 28 cpv. 4 OAINF, non è ancora stata decisa dal Tribunale federale – in questo senso, cfr. ancora la STF 8C_500/2020 del 9 dicembre 2020 consid. 3.3.2.3), ciò non basterebbe comunque a raggiungere la soglia minima legale del 10%, così come verrà meglio dimostrato successivamente. Tenuto conto di tutto quanto precede, il reddito da invalido ammonta dunque a fr. 65'542.36 (fr. 68'991.96 – 5%). Raffrontando, dunque, il reddito da valido di fr. 66'956 indicato nella decisione su opposizione impugnata (cfr. doc. A) con quello da invalido di fr. 65’542.36 , si ottiene un grado d’invalidità del 2.1%, arrotondato al 2% secondo la giurisprudenza di cui alla DTF 130 V 121 consid. 3.2., come correttamente indicato dall’amministrazione. La soluzione non potrebbe essere diversa neppure qualora si volesse – per pura ipotesi – raffrontare al reddito da valido quello da invalido di fr. 62’092.76 (fr. 68'991.96 – 10%), ciò che porterebbe ad un grado di invalidità del 7.2%, arrotondato al 7% secondo la giurisprudenza di cui alla DTF 130 V 121 consid. 3.2., insufficiente per ottenere il diritto ad una rendita di invalidità. Su questo punto, quindi, la decisione su opposizione impugnata, mediante la quale è stato negato il diritto ad una rendita di invalidità, deve dunque essere confermata. 2.4. Entità dell’IMI? 2.4.1.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2.4.4.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sentito il parere del dr. __________ (cfr. doc. 97), ha assegnato all’assicurato un’IMI del 6%. Nell’apprezzamento del 17 gennaio 2020, il medico fiduciario dell’assicuratore ha così motivato la propria valutazione: " 1. Reperti L’assicurato è portatore di postumi importanti e durevoli in seguito a: ferita da puntura da spina di pesce alla mano sinistra. Cellulite necrotizzante mano sinistra. Stato dopo plurimi interventi di necrosectomia e posizionamento di medicazione VAC eseguito il 18.03.2019 dal dr. med. __________ il 22.03.2019, l’1.4.2019 dal dr. med. __________. Stato dopo copertura della ferita con Thiersch con prelievo fatto dall’avambraccio sinistro il 14.05.2019 (dr. med. __________). 2. Valutazione del danno all’integrità 6% 3. Motivazione Si fa riferimento alla tabella 3.2 CO 1 dove per una amputazione del dito II a livello della radice del dito viene riconosciuto un 6%. Considerando la situazione dell’assicurato, la rigidità e la iperpatia si ritiene di potere fare riferimento a tale fattispecie per analogia e si ritiene pertanto adeguata una percentuale del 6%.” (Doc. 97) A seguito delle obiezioni sollevate dall’assicurato in sede di opposizione, l’assicuratore LAINF ha ritenuto opportuno interpellare nuovamente il dr. __________, il quale, nell’apprezzamento aggiuntivo del 31 agosto 2020, si è così espresso: " (…) Apprezzamento Ci viene chiesto di esprimerci sulle contestazioni alla valutazione IMI. Siamo di fronte ad un assicurato che in seguito alle patologie citate in visita ha subito un danno alla salute che colpisce prevalentemente il II dito con rigidità articolare e in misura molto minore il III, IV e V dito. Il quadro clinico globale è espresso in dettaglio nella visita __________. Nella valutazione di menomazione all’integrità si fa riferimento alla tabella 3.2 CO 1 e si procede per analogia. Si prende come riferimento un quadro di amputazione totale del II dito a livello della metacarpo-falangea che dà un valore del 6%. Si rammenta per confronto che un’amputazione del secondo dito a livello della interfalangea prossimale dà diritto a un 5% e un’amputazione della falange distale dà diritto a 0%. Sempre per confronto si cita la tabella 5.2 CO 1 ove per un’artrosi grave delle articolazioni delle dita della mano nonché per resezione articolare o artrodesi viene riconosciuto uno 0%. Nel caso in questione una amputazione completa del secondo dito determina una menomazione maggiore di quella presente al solo secondo dito dell’assicurato, ma considerando la menomazione globale presentata dall’assicurato si è ritenuto di poter raggiungere la valutazione del 6% che è da ritenersi comprensiva del totale delle affezioni presentate dall’assicurato. Ricordo che un’amputazione totale del secondo dito determina una menomazione non trascurabile caratterizzata dalla impossibilità di pinza polli-digitale con il raggio maggiormente utilizzato nella vita quotidiana. Si tratta quindi di una situazione non trascurabile ed a mio parere sicuramente paragonabile al quadro presentato dall’assicurato senza rischio di sottovalutazione dello stesso. Ritengo che la valutazione IMI eseguita sia corretta, comprensiva della situazione globale dell’assicurato, eseguita per analogia come corretto fare secondo la normale prassi valutativa CO 1 e non sottostimata rispetto alla situazione dell’assicurato. Per quanto riguarda il rapporto del dr. __________ (medico curante) confermo che la valutazione della IMI eseguita considera la funzionalità globale della mano sinistra. Per quanto riguarda la possibilità di un peggioramento con il tempo, ritengo che nel quadro clinico in questione un peggioramento non sia prevalentemente probabile. Quadro di rigidità del dito appare ormai stabilizzato per quanto riguarda il II dito e per quanto riguarda le altre dita è anche possibile quanto riguarda le altre dita è anche possibile che un regolare utilizzo e adattamento possa invece portare ad un miglioramento della situazione. In ogni caso non vi sono elementi che ci permettano di considerare che un marcato peggioramento sia prevalentemente probabile. Lo stesso dr. __________ non ci fornisce alcun elemento in tal senso limitandosi a dichiarare semplicemente di “non poterlo escludere”. Non vi è neppure alcun elemento che permetta di ritenere che la rigidità articolare di un dito possa essere elemento causale per lo sviluppo di artrosi a livello delle dita della mano e della mano stessa. Non vi è infatti alcun elemento eziopatogenetico che possa mettere in correlazione una riduzione di movimento con lo sviluppo di una artrosi. In ogni caso, ai fini della determinazione della IMI, la artrosi delle articolazioni delle dita della mano secondo la tabella 5.2 CO 1 vinee indennizzata con uno 0%. Riguardo le osservazioni dell’avvocato __________ confermo che la valutazione della IMI riguarda la situazione globale della mano ed è stata fatta per analogia. Rimando sul punto a quanto sopra citato. Per quanto riguarda l’affermazione che durante l’istruttoria non è stato considerato il fatto che l’assicurato è mancino, mi sento di far rilevare che in realtà questa circostanza è stata considerata (si rimanda alla visita __________ nella sezione reperti obiettivi). Essa, comunque, ai fini della IMI nel caso in questione, è ininfluente. Per quanto riguarda l’obiezione che non è stata riconosciuta una menomazione dell’integrità per artrosi rimando a quanto già sopra citato e cioè che l’artrosi delle dita della mano, secondo la tabellazione CO 1 5, dà diritto ad un’indennità dello 0% e pertanto pare irrilevante nella discussione in essere. Inoltre, rimando alle considerazioni sopra esposte sul fatto che un’artrosi qualora già presente non è da porre in nesso causale con l’evento che ci compete e qualora si voglia invece considerarla come possibile evoluzione futura non appare dal punto di vista medico probabile. Per quanto riguarda la richiesta del 20% rilevo che l’avvocato non ci fornisce una chiara spiegazione per la sua richiesta e per le ragioni sopra esposte mi pare del tutto non adeguata alla situazione di questo assicurato. Ritengo pertanto che le conclusioni della visita __________ in particolare per quanto riguarda la valutazione IMI siano da ritenersi corrette e da riconfermarsi.” (Doc. 139) 2.4.6.   In corso di causa, il patrocinatore del ricorrente ha contestato la valutazione del dr. __________ a proposito dell’IMI riconosciuta all’assicurato - sulla quale è basata la decisione su opposizione impugnata - trasmettendo il seguente apprezzamento del 24 novembre 2020 del dr. __________, specialista FMH in medicina interna, medico di fiducia AGV/SSMC/SSMF: " (…) INDENNITÀ PER MENOMAZIONE DELL’INTEGRITÀ ll danno complessivo alla mano sx conseguente all'evento del 18.03.19 corrisponde al 40% della perdita di una mano, per la quale è prevista una IMI del 40% (tabella CO 1 3.7 figura 43), per una IMI definitiva del 16% (40% del 40%). Per quantificare il danno residuo, non si deve considerare solo la perdita del dito Il della mano sx che è praticamente completa dal punto di vista funzionale ma anche l'allodinia e la perdita di funzionalità della mano nel suo complesso, con evidenti ripercussioni nell'esecuzione di tutte le attività sia lavorative sia della vita quotidiana.” (Doc. XI/1) Tale referto non è stato sottoposto dall’assicuratore LAINF al vaglio del servizio medico fiduciario per una presa di posizione. Al riguardo, la patrocinatrice dell’amministrazione, nelle osservazioni del 18 dicembre 2020, si è limitata a rilevare quanto segue: " (…) L’avv. RA 1 produce un nuovo referto del dr. med. __________, il quale, si fa notare, ha unicamente una specializzazione in medicina interna. Si rammenta che l’assicurato è stato visitato dal dr. med. __________, specialista FMH chirurgia ortopedica e dal dr. med. __________, specialista FMH in chirurgia della mano e del piede. Le diagnosi effettuate dai menzionati specialisti non possono dunque essere messe in discussione, pertanto la Parte convenuta non può che riconfermarsi nella sua risposta di causa.” (Doc. XIII). Chiamato a pronunciarsi, questo Tribunale non condivide le considerazioni espresse dall’avv. RA 2 nei confronti dell’apprezzamento medico del dr. __________. Va qui, difatti, ricordato che il dr. __________, in qualità di medico fiduciario di numerosi assicuratori, dispone delle competenze necessarie per potersi validamente esprimere in materia di medicina assicurativa ed infortunistica (cfr. STF 8C_108/2020 del 22 dicembre 2020, nella quale l’Alta Corte ha ricordato che, secondo costante giurisprudenza, i medici __________ così come gli specialisti del centro di competenza di medicina assicurativa dell’assicuratore infortuni sono considerati per la loro funzione e per la loro posizione professionale come specialisti in materia di traumatologia, indipendentemente dalla loro specializzazione medica (sentenze 8C_59/2020 del 14 aprile 2020 consid. 5.2; 8C_316/2019 del 24 ottobre 2019 consid. 5.4 e riferimenti citati)). Ora, ciò posto, q uesta Corte non può confermare la decisione su opposizione impugnata mediante la quale l’assicuratore resistente ha assegnato all’assicurato un’IMI del 6%. In effetti, in merito all’entità della menomazione dell’integrità di cui è portatore l’insorgente, agli atti figurano referti contraddittori – quello del dr. __________, da un canto (menomazione dell’integrità complessiva del 6%) e quello elaborato dal dr. __________, dall’altro (IMI del16%) – che non consentono al TCA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Tutto ben considerato, dalla documentazione a disposizione emergono dunque elementi suscettibili di generare dei dubbi, perlomeno lievi, circa l’affidabilità della documentazione medica sulla quale l’istituto assicuratore ha fondato la propria decisione di riconoscere un’IMI del 6% (per un caso in cui la Corte federale ha annullato il giudizio cantonale ritenendo che, alla luce dei referti agli atti dei medici consultati dall’assicurato, alle considerazioni espresse dal medico fiduciario non poteva essere data “quella sufficiente concludenza, tale da escludere anche il minimo dubbio di una soluzione differente”, si veda la STF 8C_23/2019 del 6 agosto 2019 consid. 4.3). 2.4.7.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solo parere del medico fiduciario (per un caso analogo, si veda la STF 8C_757/2014 del 16 gennaio 2015 consid. 3.2). Per le ragioni già esposte al considerando 2.4.6., si giustifica, pertanto, l’annullamento della decisione su opposizione impugnata e il rinvio degli atti all’assicuratore resistente affinché disponga un approfondimento peritale esterno (art. 44 LPGA) volto a definire l’entità della menomazione dell’integrità di cui è portatore l’insorgente. Sulla scorta delle relative risultanze, l’CO 1 sarà poi chiamato a determinare di nuovo la relativa indennità.</w:t>
      </w:r>
    </w:p>
    <w:p>
      <w:r>
        <w:rPr>
          <w:b/>
        </w:rPr>
        <w:t>E. 28</w:t>
      </w:r>
    </w:p>
    <w:p>
      <w:r>
        <w:t>ottobre 2009, pubblicata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provano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 10 p. 35 consid. 4b).</w:t>
      </w:r>
    </w:p>
    <w:p>
      <w:r>
        <w:t>2.3.9.   Nella presente fattispecie, lIstituto convenuto ha quantificato in fr. 68991.96 il reddito da invalido, facendo capo alla tabella TA1 2018,media totale, livello di qualifica 1, uomini (pari a fr.67766.67),aggiornato al 2020 (doc. 127).</w:t>
      </w:r>
    </w:p>
    <w:p>
      <w:r>
        <w:t>Il TCA non ha motivo per scostarsi da questo dato, risultante dalla corretta applicazione dei dati statistici.</w:t>
      </w:r>
    </w:p>
    <w:p>
      <w:r>
        <w:t>Riportando tale dato su 41.7 ore di durata media lavorativa settimanale, il dato statistico corrisponde a fr. 67766.67 per un impiego a tempo pieno. Dopo adeguamento all'indice dei salari nominali, si ottiene, per il 2019, un reddito annuo di fr. 68'376.57, per il 2020 di fr.  68'991.96.</w:t>
      </w:r>
    </w:p>
    <w:p>
      <w:r>
        <w:t>Lamministrazione ha, poi, applicato una deduzione sociale del 5% ex DTF 126 V 80 (cfr. doc. 126).</w:t>
      </w:r>
    </w:p>
    <w:p>
      <w:r>
        <w:t>Il patrocinatore dellassicurato ha contestato lammontare della deduzione percentuale applicata dallamministrazione, ritenuta eccessivamente bassa, chiedendo che la stessa venga innalzata almeno al 20% come, del resto, riconosciuto pure dallUfficio AI. A suo modo di vedere, difatti, è inammissibile che lassicuratore infortuni si scosti dai parametri economici definiti dallUfficio AI, a fronte di un danno alla salute esclusivamente di origine infortunistica.</w:t>
      </w:r>
    </w:p>
    <w:p>
      <w:r>
        <w:t>Il legale ha giustificato la sua richiesta di riconoscimento di una percentuale di riduzione almeno del 20% con il fatto che linteressato possa ormai svolgere solo attività leggere (ciò che, secondo lUfficio AI, darebbe diritto ad una deduzione del 10%) e, inoltre, facendo rifermento alle limitazioni funzionali e alle limitate competenze professionali (altri elementi che giustificano, secondo lUfficio AI, unulteriore riduzione del 10%).</w:t>
      </w:r>
    </w:p>
    <w:p>
      <w:r>
        <w:t>Inoltre, lavv. RA 1 ha aggiunto che, vista letà dellassicurato (61 anni), sarebbe applicabile unulteriore riduzione del 5%, per una deduzione sociale globale del 25% (doc. I).</w:t>
      </w:r>
    </w:p>
    <w:p>
      <w:r>
        <w:t>In ossequio alla giurisprudenza federale, occorre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"di tener conto delle varie particolarità che possono influire sul reddito del lavoro" (cfr. DTF 126 V 80 consid. 5b/cc).</w:t>
      </w:r>
    </w:p>
    <w:p>
      <w:r>
        <w:t>Il TCA che, di massima, non può senza motivi pertinenti sostituire il proprio apprezzamento a quello dellamministrazione (cfr. DTF 137 V 71, consid. 5.2), non ha motivo di scostarsi dalla scelta operata dallassicuratore LAINF, anche alla luce della più recente giurisprudenza federale (cfr. STF 8C_9/2020 del 10 giugno 2020; 8C_765/2019 del 10 giugno 2020; 8C_730/2019 del 10 giugno 2020).</w:t>
      </w:r>
    </w:p>
    <w:p>
      <w:r>
        <w:t>Successivamente il Tribunale federale ha ancora ribadito che, lassicurazione per linvaliditànon è vincolataalla valutazione dellinvalidità dellassicurazione contro gli infortuni (cfr. STF 9C_529/2010 del 24 gennaio 2011; DTF 133 V 549 consid. 6; STCA 32.2015.160 del 5 ottobre 2016, consid. 2.6, STCA 32.2016.90 del 10 aprile 2017, consid. 2.2 e STCA 35.2017.35 del 30 agosto 2017, consid. 2.3; STCA 32.2017.60 del 19 febbraio 2018, consid. 2.4).</w:t>
      </w:r>
    </w:p>
    <w:p>
      <w:r>
        <w:t>Nel caso di specie, dalla valutazione del dr. __________ emerge che, nonostante il danno salute, lassicurato sarebbe ancora in grado di svolgere, senza limiti di tempo o di rendimento, unattività leggera dal profilo dellimpegno fisico, che non implichino lavori di precisione con la mano sinistra (cfr. doc. 96, p. 3: lassicurato in un lavoro che rispetti lesigibilità espressa è da ritenersi abile in misura completa con rendimento completo e senza pause supplementari.).</w:t>
      </w:r>
    </w:p>
    <w:p>
      <w:r>
        <w:t>La soluzione non potrebbe essere diversa neppure qualora si volesse  per pura ipotesi  raffrontare al reddito da valido quello da invalido difr. 62092.76 (fr. 68'991.96  10%), ciò che porterebbe ad un grado di invalidità del 7.2%,arrotondato al 7% secondo la giurisprudenza di cui alla DTF 130 V 121 consid. 3.2.,insufficiente per ottenere il diritto ad una rendita di invalidità.</w:t>
      </w:r>
    </w:p>
    <w:p>
      <w:r>
        <w:t>2.4.Entità dellIMI?</w:t>
      </w:r>
    </w:p>
    <w:p>
      <w:r>
        <w:t>2.4.1.   Secondo l'art. 24 cpv. 1 LAINF, l'assicurato ha diritto a un'equa indennità se, in seguito all'infortunio, accusa una menomazione importante e durevole all'integrità fisica o mentale.</w:t>
      </w:r>
    </w:p>
    <w:p>
      <w:r>
        <w:t>Tale indennità è assegnata in forma di prestazione in capitale.</w:t>
      </w:r>
    </w:p>
    <w:p>
      <w:r>
        <w:t>Essa non deve superare l'ammontare massimo del guadagno annuo assicurato all'epoca dell'infortunio ed è scalata secondo la gravità delle menomazioni.</w:t>
      </w:r>
    </w:p>
    <w:p>
      <w:r>
        <w:t>Il Consiglio federale emana disposizioni particolareggiate sul calcolo dell'indennità (art. 25 cpv. 1 e 2 LAINF).</w:t>
      </w:r>
    </w:p>
    <w:p>
      <w:r>
        <w:t>2.4.2.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w:t>
      </w:r>
    </w:p>
    <w:p>
      <w:r>
        <w:t>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w:t>
      </w:r>
    </w:p>
    <w:p>
      <w:r>
        <w:t>La parte della riparazione del torto morale contemplata dagliartt. 24ss. LAINF è, dunque, soltanto parziale: gli aspetti soggettivi del danno (segnatamente ilpretium dolorise il pregiudizio estetico) ne sono esclusi (cfr. Ghélew, Ramelet, Ritter, Commentaire de la loi sur l'assurance-accidents, Losanna 1992, p. 121).</w:t>
      </w:r>
    </w:p>
    <w:p>
      <w:r>
        <w:t>2.4.3.   Giusta l'art. 36 cpv. 2 OAINF, l'indennità è calcolata in base alle direttive contenute nell'Allegato 3 dell'OAINF.</w:t>
      </w:r>
    </w:p>
    <w:p>
      <w:r>
        <w:t>Una tabella elenca una serie di lesioni indicando per ciascuna il tasso normale di indennizzo, corrispondente ad una percentuale dell'ammontare massimo del guadagno assicurato.</w:t>
      </w:r>
    </w:p>
    <w:p>
      <w:r>
        <w:t>Questa tabella - riconosciuta conforme alla legge - non costituisce un elenco esaustivo (cfr. RAMI 2000 U 362, p. 43; DTF 124 V 32; DTF 113 V 219 consid. 2a; RAMI 1988 U 48p. 235 consid. 2a e sentenze ivi citate). Deve essere intesa come una norma valida "nel caso normale" (cifra 1 cpv. 1 dell'allegato).</w:t>
      </w:r>
    </w:p>
    <w:p>
      <w:r>
        <w:t>Le menomazioni extra-tabellari sono indennizzate secondo i tassi previsti tabellarmente per menomazioni di analoga gravità (cifra 1 cpv. 2 dell'allegato).</w:t>
      </w:r>
    </w:p>
    <w:p>
      <w:r>
        <w:t>La perdita totale dell'uso di un organo è equiparata alla perdita dell'organo stesso. In caso di perdita parziale l'indennità sarà corrispondentemente ridotta; tuttavia nessuna indennità verrà versata se la menomazione dell'integrità risulta inferiore al 5% (cifra 2 dell'allegato).</w:t>
      </w:r>
    </w:p>
    <w:p>
      <w:r>
        <w:t>Se più menomazioni all'integrità fisica o mentale, causate da uno o più infortuni sono concomitanti, l'indennità va calcolata in base al pregiudizio complessivo (art. 36 cpv. 3 1a frase OAINF).</w:t>
      </w:r>
    </w:p>
    <w:p>
      <w:r>
        <w:t>Si prende in considerazione in modo adeguato un peggioramento prevedibile della menomazione dell'integrità. E' possibile effettuare revisioni solo in casi eccezionali, ovvero se il peggioramento è importante e non era prevedibile (art. 36 cpv. 4 OAINF).</w:t>
      </w:r>
    </w:p>
    <w:p>
      <w:r>
        <w:t>Peggioramenti non prevedibili non possono, naturalmente, essere anticipatamente considerati.</w:t>
      </w:r>
    </w:p>
    <w:p>
      <w:r>
        <w:t>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w:t>
      </w:r>
    </w:p>
    <w:p>
      <w:r>
        <w:t>2.4.4.   LCO 1 ha allestito una serie di tabelle, dalla griglia molto più serrata, che integrano quella dell'ordinanza.</w:t>
      </w:r>
    </w:p>
    <w:p>
      <w:r>
        <w:t>Semplici direttive di natura amministrativa, esse non hanno valore di legge e non vincolano il giudice (cfr. STFA I 102/00 del 22 agosto 2000; DTF 125 V 377 consid. 1c; STFA del 7 dicembre 1988 nella causa P.; RAMI 1989 U 71, p. 221ss.).</w:t>
      </w:r>
    </w:p>
    <w:p>
      <w:r>
        <w:t>Tuttavia, nella misura in cui esprimono unicamente valori indicativi, miranti a garantire la parità di trattamento di tutti gli assicurati, esse sono compatibili con l'annesso 3 all'OAINF (RAMI 1987 U 21, p. 329; DTF 113 V 219, consid. 2b; DTF 116 V 157, consid. 3a).</w:t>
      </w:r>
    </w:p>
    <w:p>
      <w:r>
        <w:t>2.4.5.   Nel caso di specie, lassicuratore LAINF resistente, sentito il parere del dr. __________ (cfr. doc. 97), ha assegnato allassicurato unIMI del 6%.</w:t>
      </w:r>
    </w:p>
    <w:p>
      <w:r>
        <w:t>Nellapprezzamento del 17 gennaio 2020, il medico fiduciario dellassicuratore ha così motivato la propria valutazione:</w:t>
      </w:r>
    </w:p>
    <w:p>
      <w:r>
        <w:t>A seguito delle obiezioni sollevate dallassicurato in sede di opposizione, lassicuratore LAINF ha ritenuto opportuno interpellare nuovamente il dr. __________, il quale, nellapprezzamento aggiuntivo del 31 agosto 2020, si è così espresso:</w:t>
      </w:r>
    </w:p>
    <w:p>
      <w:r>
        <w:t>Tale referto non è stato sottoposto dallassicuratore LAINF al vaglio del servizio medico fiduciario per una presa di posizione. Al riguardo, la patrocinatrice dellamministrazione, nelle osservazioni del 18 dicembre 2020, si è limitata a rilevare quanto segue:</w:t>
      </w:r>
    </w:p>
    <w:p>
      <w:r>
        <w:t>Tutto ben considerato, dalla documentazione a disposizione emergono dunque elementi suscettibili di generare dei dubbi, perlomeno lievi, circa laffidabilità della documentazione medica sulla quale listituto assicuratore ha fondato la propria decisione di riconoscere unIMI del 6% (per un caso in cui la Corte federale ha annullato il giudizio cantonale ritenendo che, alla luce dei referti agli atti dei medici consultati dallassicurato, alle considerazioni espresse dal medico fiduciario non poteva essere data quella sufficiente concludenza, tale da escludere anche il minimo dubbio di una soluzione differente, si veda la STF 8C_23/2019 del 6 agosto 2019 consid. 4.3).</w:t>
      </w:r>
    </w:p>
    <w:p>
      <w:r>
        <w:t>" ().</w:t>
      </w:r>
    </w:p>
    <w:p>
      <w:r>
        <w:t>" Um solche Zweifel auszuräumen, wird das Gericht entweder ein Gerichtsgutachten anzuordnen oder die Sache an den Versicherungsträger zurückzuweisen haben, damit dieser im Verfahren nach Art. 44 ATSG eine Begutachtung veranlasst (BGE 135 V 465 E. 4.6 S. 471). (STF 8C_59/2011,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