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35.2020.82 vom 29. März 2021</w:t>
      </w:r>
    </w:p>
    <w:p>
      <w:r>
        <w:t>TI Tribunale d'appello, 2021-03-29, IT</w:t>
      </w:r>
    </w:p>
    <w:p>
      <w:r>
        <w:rPr>
          <w:b/>
        </w:rPr>
        <w:t xml:space="preserve">Quelle: </w:t>
      </w:r>
      <w:r>
        <w:t>https://mcp.opencaselaw.ch/entscheid/ti_gerichte_35.2020.82</w:t>
      </w:r>
    </w:p>
    <w:p>
      <w:r>
        <w:t>FR: TI_GERICHTE 35.2020.82 du 29 mars 2021</w:t>
      </w:r>
    </w:p>
    <w:p>
      <w:r>
        <w:t>IT: TI_GERICHTE 35.2020.82 del 29 marzo 2021</w:t>
      </w:r>
    </w:p>
    <w:p>
      <w:pPr>
        <w:pStyle w:val="Heading2"/>
      </w:pPr>
      <w:r>
        <w:t>Regeste</w:t>
      </w:r>
    </w:p>
    <w:p>
      <w:r>
        <w:t>Decisione con la quale è stato negato il diritto a prestazioni non può essere confermata, ritenuto come la complessità delle patologie dell'interessato avrebbe imposto, preliminarmente,la messa in atto di una perizia interdisciplinare</w:t>
      </w:r>
    </w:p>
    <w:p>
      <w:pPr>
        <w:pStyle w:val="Heading2"/>
      </w:pPr>
      <w:r>
        <w:t>Erwägungen</w:t>
      </w:r>
    </w:p>
    <w:p>
      <w:r>
        <w:rPr>
          <w:b/>
        </w:rPr>
        <w:t>E. 28</w:t>
      </w:r>
    </w:p>
    <w:p>
      <w:r>
        <w:t>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w:t>
      </w:r>
    </w:p>
    <w:p>
      <w:r>
        <w:t>2.4.   Con lo scritto del 27 novembre 2020, il patrocinatore del ricorrente si è riservato la facoltà di richiedere che venisse indetto unpubblico dibattimento(cfr. doc. XIII).</w:t>
      </w:r>
    </w:p>
    <w:p>
      <w:r>
        <w:t>Confrontato con una richiesta di pubblico dibattimento, il giudice cantonale deve di principio darne seguito. Egli può tuttavia astenersi nei casi previsti dallart. 6 § 1 seconda frase CEDU, ossia quando la domanda è abusiva, quando appare chiaramente che il ricorso è infondato, irricevibile o, al contrario, manifestamente fondato oppure quando loggetto litigioso concerne delle questioni altamente tecniche (cfr. DTF 122 V 47 consid. 3b).</w:t>
      </w:r>
    </w:p>
    <w:p>
      <w:r>
        <w:t>Nella DTF 136 I 279 consid. 3, il Tribunale federale ha precisato che non è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w:t>
      </w:r>
    </w:p>
    <w:p>
      <w:r>
        <w:t>Nel caso di specie, essendo realizzata una delle eccezioni previste dallart. 6 § 1 seconda frase CEDU (accoglimento del ricorso), il TCA può astenersi dal dare seguito alla richiesta dellassicurato.</w:t>
      </w:r>
    </w:p>
    <w:p>
      <w:r>
        <w:t>Considerato lesito della vertenza, questo Tribunale può pure esimersi dal richiamare lincarto AI, come pure richiesto dal legale dellassicurato (doc. XIII).</w:t>
      </w:r>
    </w:p>
    <w:p>
      <w:r>
        <w:t>2.5.   Lassicurato ha chiesto di essere posto al beneficiodellassistenza giudiziaria con gratuito patrocinio (cfr. doc. I).</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L’oggetto della lite è circoscritto alle questioni di sapere se l’Istituto resistente era legittimato, oppure no, a negare all’assicurato il diritto ad una rendita d’invalidità e l’entità dell’IMI. 2.3. Diritto a una rendita di 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 caso concreto, con la decisione su opposizione impugnata, l’Istituto assicuratore ha dichiarato l’assicurato in grado di svolgere, a tempo pieno e con rendimento completo, un’attività lavorativa alternativa, compatibile con il suo danno alla salute infortunistico (doc. A1). Tale conclusione è basata sulla visita eseguita, su incarico di CO 1, dal dr. __________, specialista FMH in medicina interna. Quest’ultimo, nel referto del 12 dicembre 2019, ha posto le seguenti diagnosi: " Diagnosi infortunistiche attuali: in data 30.03.2017 trauma stradale su scooter fermo contro auto a bassa velocità riportando: - frattura di L1 tipo A2 in data 29.09.2017 vertebroplastica Th12-L1 con viti transpeduncolari in L1 per persistenza di dolori lombari e sospetto di instabilità alle Rx funzionali In data 17.01.2018 stabilizzazione per via percutanea di Th11-Th12-L2-L3 con neuronavigazione intraoperatoria con anche asportazione delle viti transpeduncolari L1 In data 31.05.2019 revisione della spondilodesi con asportazione delle viti e nuova spondilodesi Th12-L2 e PLIF L1/L2 - ernia inguinale destra in data 17.05.2017 laparoscopia adesiolisi e cura di ernia ombelicale con rete oltre a ernioplastica inguinale destra in esiti di sigmoidectomia per diverticolite complicata con laparocele mediano nel 2008 Diagnosi non infortunistiche attuali: spondilartrosi plurisegmentale cervico-dorso-lombare preesistente stabile osteonecrosi della testa del femore sinistro (vedi TAC del 13.10.2016 e 24.05.2018) nel 2004 trattamento chirurgico di tunnel carpale bilaterale nel 2008 sigmoidectomia per diverticolite complicata con laparocele mediano nel 2011 duplice intervento alla spalla destra su problematica di cuffia alla spalla sinistra analoga problematica di cuffia nel 2015 cardiopatia ischemica in malattia trivasale: PTCA e stent diabete mellito tipo II con noto sovrappeso osteoporosi su ipogonadismo.” Rispondendo alle domande dell’amministrazione, il dr. __________ si è così espresso: " (…) 5. Domande concernenti il nesso causale 5.1 I pregiudizi alla salute attualmente ancora presenti sono unicamente la conseguenza dell’infortunio del 30.03.2017 o ne sono soltanto una conseguenza parziale (“conditio sine qua non”)? Se non definibile con certezza, quale delle tre probabilità citate preliminarmente entra in considerazione? I disturbi tutt’ora patiti sono da considerare in nesso di probabilità preponderante con l’evento in causa. 5.2. Nel caso in cui fattori estranei all’infortunio hanno contribuito almeno con una probabilità preponderante ai postumi attuali: 5.2.1. Quali fattori estranei influiscono? Discopatie lombari, cervicoartrosi plurisegmentale, osteoporosi diffusa, necrosi asettica della testa femorale. 5.3. A partire da un certo momento, unicamente i fattori estranei agli infortuni influiscono con una probabilità preponderante (raggiunto lo “status quo sine” o lo “status quo ante”)? Se sì, da quando? - 6.Dalla continuazione della cura medica, ci si può attendere un sostanziale miglioramento dello stato di salute? 6.1. Se sì, quale cura risponderà alle attese? Allo stato attuale a oltre 6 mesi dall’ultimo intervento ortopedico si può ragionevolmente considerare raggiunto lo stato finale come d’accordo e discusso con il paziente. 6.2. Se no, a partire da quando la continuazione della cura medica non migliorerà o non ha più migliorato in modo significativo lo stato di salute (stato finale raggiunto)? - 7. Domande concernenti l’incapacità al lavoro temporanea durante la cura medica e fino al raggiungimento dello stato finale: 7.1. Quali carichi corporali/lavori/attività non sono espletabili dall’assicurato a causa dei pregiudizi alla salute dovuti all’infortunio nell’ambito della sua professione di pizzaiolo/commerciante? Inabilità lavorativa totale dal 30.03.2017. 7.2 A suo giudizio, qual è la percentuale di inabilità lavorativa dovuta all’infortunio durante la fase terapeutica nella sua professione di pizzaiolo/commerciante? Vedi sopra. 8. Domande concernenti impedimenti rilevanti e durevoli per un’invalidità nella professione: Quali carichi corporali/attività/lavori l’assicurato non potrà più eseguire in maniera durevole a causa dei postumi dell’infortunio? 8.1.1. Nella sua attuale professione di pizzaiolo/commerciante? L’attività inergonomica di pizzaiolo per le sole conseguenze infortunistiche non è più esigibile a carattere definitivo. 8.1.2. Qual è la percentuale di questi impedimenti in rapporto a un’attività del 100%? Vedi sopra. 8.2 In un’altra attività? Esigibilità massimale in attività ritenute adeguate ergonomicamente. Si deve trattare di attività dove si possa cambiare posizione al bisogno sia da seduto che in piedi, dove non si debba ruotare/anteflettere regolarmente il rachide lombare, dove non si debba regolarmente portare/sollevare/spostare pesi &gt; 5 kg. 9. Domande concernenti la menomazione all’integrità fisica: 9.1. L’assicurato tenuto in considerazione solo dei postumi infortunistici e indipendentemente dalla professione svolta, ha subito una durevole menomazione alla sua integrità fisica e/o psichica? Sì. 9.2. Se sì, qual è la percentuale seconda la scala LAINF relativa alle menomazioni all’integrità fisica? Per i postumi dell’infortunio del 30.03.2017 interessante il rachide. Valutazione: 20%. Unicamente per i soli postumi infortunistici, già considerando gli eventuali peggioramenti futuri e secondo pubblicazione medica SUVA come da tabella 7.2: 10% per frattura lombare con dolori ++ e 10% per stato post operatorio di spondilodesi.” (Doc. 242) A seguito delle obiezioni sollevate dall’assicurato in sede di opposizione, l’assicuratore LAINF ha ritenuto opportuno interpellare nuovamente il dr. __________, il quale, nell’apprezzamento aggiuntivo del 22 maggio 2020, si è così espresso: " Come da vostra richiesta posso così esprimermi alle ulteriori domande poste: B) Domande aggiuntive 1. Può gentilmente prendere posizione all’affermazione dell’assicurato concernente la capacità residua. La mia valutazione del 12.12.2019 concernente la capacità lavorativa residuale rispecchia essenzialmente le patologie di stretta pertinenza infortunistica ovvero la frattura L1 tipo A2 trattata con vertebroplastica, stabilizzazione e revisione della spondilodesi. Ricordando la presenza di varie patologie extra infortunistiche come dalle diagnosi della mia visita peritale sia a livello osseo del rachide che alla testa del femore sinistro oltre alle due spalle ripeto che nella valutazione delle esigibilità residuali eventuali limitazioni legate a queste patologie extra infortunistiche non sono state considerate essendo extra-morbose. In definitiva sono tuttora dell’avviso che per la patologia infortunistica sia adeguato considerare la massima esigibilità in attività adeguate con limitazioni funzionali come dal pinto 8.2 della mia visita. 2. Può gentilmente, se lo ritiene necessario e opportuno, completare la sua valutazione del 12.12.2019. L’ulteriore documentazione medica del dr. med. __________ con certificazione di inabilità lavorativa al 100% dal 1.02.2020 al 31.03.2020 dopo la sua visita del 19.02.2020 non entra in conflittualità e non modifica quanto da me descritto poiché si riferisce all’usuale attività di pizzaiolo. Non entro per contro nel merito delle osservazioni effettuate dal legale del paziente che senza motivazioni particolari indica un impedimento totale in qualsivoglia attività senza allegare adeguata documentazione medica. 3. Altre osservazioni? -.” (Doc. 274) 2.3.4. In corso di causa, il patrocinatore del ricorrente ha contestato la valutazione del dr. __________ a proposito di una piena capacità lavorativa dell’assicurato in attività adeguate, sulla quale è basata la decisione su opposizione impugnata, trasmettendo le seguenti considerazioni a lui indirizzate tramite messaggio di posta elettronica del 14 ottobre 2020 dal dr. __________, specialista FMH in chirurgia ortopedica: " La ringrazio di essersi rivolto alla mia persona per valutare la questione del suo cliente, signor RI 1. Allo stato attuale non ritengo essere dati i presupposti per una presa di posizione da parte mia. I documenti a mia disposizione non permettono in effetti di confermare a priori il tenore delle affermazioni ritenute nel ricorso inviato al tribunale cantonale in data 14.09.2020. Questo sia per quanto attiene alla capacità lavorativa (in particolare l’affermazione “… non vi è esigibilità alcuna neppure in attività ritenute adeguate”), sia per quanto concerne la quantificazione dell’IMI al 40%. Ritengo quindi più opportuno fare riferimento al medico che ha espresso le considerazioni da lei riportate. Mi permetto ciò non di meno di fare notare il fatto che la decisione della CO 1 del 23 luglio 2020 si fonda sulla presa di posizione del dr. __________, specialista in medicina interna, in presenza di una problematica complessa di pertinenza specialistica ortopedica/neurochirurgica (eventualmente reumatologica). Il certificato SIM di medico perito assicurativo attesta la presenza di una buona base di conoscenza, non fornisce tuttavia gli elementi per poter prendere posizione in questioni complesse in tutti gli ambiti specialistici.” (Doc. XIII/1) Al riguardo, CO 1 ha rilevato che “agli atti non si trova alcuna documentazione di un medico che abbia espresso le considerazioni riportate nel ricorso, ovvero non si trova alcun referto tale che possa giustificare le contestazioni e richieste presentate dal ricorrente”. Quanto alla competenza del dr. __________, l’Istituto assicuratore ha osservato che quest’ultimo “è un medico perito assicurativo certificato SIM con un’ampia esperienza in materia di medicina assicurativa ed infortunistica”, confermando il pieno valore probante da attribuire al suo apprezzamento (cfr. doc. XVI). 2.3.5.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 2.3.6.   Chiamato ora a pronunciarsi, attentamente valutato l’insieme della documentazione medica a disposizione, questo Tribunale non può, con la necessaria tranquillità, confermare le conclusioni alle quali è giunto il dr. __________, poste alla base della decisione su opposizione impugnata, ma ritiene indispensabile che la complessa situazione medica dell’interessato sia oggetto di approfondimento peritale specialistico. Se, da una parte, come correttamente affermato dall’amministrazione, è indubbio il fatto che il dr. __________, esperto in medicina interna, disponga della competenza necessaria per poter esprimere un valido parere in materia di medicina assicurativa ed infortunistica, alla luce della sua ampia esperienza – ricordato che, per costante giurisprudenza, i medici fiduciari degli assicuratori infortuni sono considerati, per la loro funzione e per la loro posizione professionale, come esperti in materia di traumatologia, indipendentemente dalla loro specializzazione medica ( cfr. STF 8C_108/2020 del 22 dicembre 2020; 8C_59/2020 del 14 aprile 2020 consid. 5.2; 8C_316/2019 del 24 ottobre 2019 consid. 5.4 e riferimenti citati) - d’altra parte questo Tribunale non può ignorare che il dr. __________, specialista in chirurgia ortopedica, nella comunicazione di posta elettronica del 14 ottobre 2020 inoltrata al rappresentante legale dell’assicurato, abbia evidenziato come nel caso di specie si sia in presenza di “ una problematica complessa di pertinenza ortopedica / neurochirurgica (eventualmente reumatologica) ”, che avrebbe imposto una valutazione peritale interdisciplinare (cfr. doc. XIII/1, corsivo della redattrice). Tali considerazioni del dr. __________ appaiono, a mente del TCA, pertinenti e particolarmente appropriate nella presente fattispecie, trovando conferma nell’attento esame della documentazione agli atti. L’assicurato, infatti, a seguito dell’evento del 30 marzo 2017, è stato sottoposto a tre interventi chirurgici alla schiena (e meglio: vertebroplastica Th12-L1 nell’ottobre 2017; intervento di osteosintesi e bloccaggio di cinque vertebre nel mese di gennaio 2018 e intervento di revisione spondilodesi con asportazione di viti in sede e nuova spondilodesi nel maggio 2019, cfr. doc. 207, 223, 229). Dal rapporto del servizio esterno della CO 1 del 17 gennaio 2019 risulta che l’interessato, dopo i primi due interventi effettuati e a seguito dei problemi che ne sono susseguiti, a fronte dell’opzione chirurgica propostagli dal dr. __________, caposervizio di neurochirurgia dell’Ospedale __________ di __________ (il quale aveva suggerito un intervento di stabilizzazione tramite “sistema a gabbia”), ha ritenuto opportuno chiedere una seconda opinione, rivolgendosi al dr. __________, neurochirurgo della Clinica __________ di __________ (cfr. doc. 172). Quest’ultimo, nel referto del 14 gennaio 2019 indirizzato al medico curante, ha illustrato quale fosse la via da seguire, indicando che “ wir haben interdisziplinär die voliegende Situation besprochen und würden als Variante 1 primär eine operative Revision von dorsal, Explantation der bereits in Lockerung befindlichen Schrauben empfehlen und nochmalige Anlangerung von Knochenmaterial” (cfr. doc. 171, corsivo della redattrice). Ora, il fatto stesso che lo specialista in neurochirurgia interpellato per una seconda opinione circa il modo migliore di procedere nel caso delle problematiche che continuavano ad affliggere l’interessato dopo i primi due interventi chirurgici alla colonna vertebrale abbia ritenuto indispensabile discutere il caso a livello interdisciplinare avvalora e sostanzia la tesi del dr. __________ a proposito della complessità della fattispecie qui in discussione, concernente diversi ambiti specialistici. Al di là, quindi, dell’indubbia competenza del medico fiduciario dell’amministrazione, qui non messa in discussione, è la natura stessa delle problematiche di salute dell’assicurato, interessanti più settori specialistici, che avrebbe dovuto imporre all’amministrazione di mettere in atto una valutazione peritale esterna perlomeno bidisciplinare, in ambito ortopedico e neurochirurgico, dei disturbi dell’interessato e dell’influsso degli stessi sulla sua capacità lavorativa residua. Pertanto, stante quanto sopra esposto, il TCA ritiene che la complessità delle lesioni dell’assicurato messa in evidenza dal dr. __________ costituisce un elemento suscettibile di generare dei dubbi, perlomeno lievi, circa l’affidabilità del parere sul quale l’amministrazione ha fondato la decisione di considerare pienamente esigibile per l’assicurato lo svolgimento di attività adatte, dubbi che inducono questa Corte a scostarsene (per un caso in cui il TF ha annullato il giudizio cantonale e, vista la complessità del caso, rinviato la causa all’amministrazione affinché ordinasse una perizia, cfr. STF 8C_586/2017 del 20 dicembre 2017; per un altro caso in cui l’Alta Corte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si veda la STF 8C_370/2017 del 15 gennaio 2018 consid. 3.3.3). A tale proposito, va difatti ricordato che, per prassi invalsa, occorre sottoporre un assicurato a una perizia medica esterna soltanto nel caso in cui sussista almeno un minimo dubbio sull’affidabilità e sulla concludenza dei pareri medici interni dell’assicurazione (cfr. DTF 135 V 465 consid. 4.4. pag. 469 seg; vedi anche, da ultimo, STF 8C_583/2020 del 4 marzo 2021). 2.3.7.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ha fondato la decisione impugnata sul solo parere del proprio fiduciario. P er le ragioni già esposte al considerando 2.3.6. , si giustifica pertanto, in luogo della pretesa perizia giudiziaria, l’annullamento della decisione su opposizione impugnata e il rinvio degli atti all’assicuratore resistente affinché disponga un approfondimento peritale esterno (art. 44 LPGA) volto ad accertare quali siano le conseguenze dei disturbi di natura infortunistica sulla capacità lavorativa residua dell’interessato, valutare l’esigibilità lavorativa, così come l’entità della menomazione all’integrità (pure oggetto di contestazione da parte dell’assicurato). In seguito, facendo capo alle risultanze dell’accertamento esperito, l’amministrazione si pronuncerà di nuovo in merito al diritto alle prestazioni di lunga durata (rendita di invalidità e entità dell’IMI) dal profilo materiale e temporale. 2.4.   Con lo scritto del 27 novembre 2020, il patrocinatore del ricorrente si è riservato la facoltà di richiedere che venisse indetto un pubblico dibattimento (cfr. doc. XIII). Confrontato con una richiesta di pubblico dibattimento, il giudice cantonale deve di principio darne seguito. Egli può tuttavia astenersi nei casi previsti dall’art. 6 § 1 seconda frase CEDU, ossia quando la domanda è abusiva, quando appare chiaramente che il ricorso è infondato, irricevibile o, al contrario, manifestamente fondato oppure quando l’oggetto litigioso concerne delle questioni altamente tecniche (cfr. DTF 122 V 47 consid. 3b). Nella DTF 136 I 279 consid. 3, il Tribunale federale ha precisato che non è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Nel caso di specie, essendo realizzata una delle eccezioni previste dall’art. 6 § 1 seconda frase CEDU (accoglimento del ricorso), il TCA può astenersi dal dare seguito alla richiesta dell’assicurato. Considerato l’esito della vertenza, questo Tribunale può pure esimersi dal richiamare l’incarto AI, come pure richiesto dal legale dell’assicurato (doc. XIII). 2.5.   L’assicurato ha chiesto di essere posto al beneficio dell’assistenza giudiziaria con gratuito patrocinio (cfr. doc. I). Visto l’esito del ricorso (il rinvio con esito aperto equivale a piena vittoria, cfr., da ultimo, la STF 8C_859/2018 del 26 novembre 2018 consid. 5 con rinvio a DTF 137 V 210 consid. 7.1 pag. 271 e riferimento), CO 1 verserà all’insorgente, rappresentato da un avvocato, l’importo fr. 2'500 (IVA inclusa) a titolo d’indennità per ripetibili (art. 61 cpv. 1 lett. g LPGA).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