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35.2020.61 vom 25. Januar 2021</w:t>
      </w:r>
    </w:p>
    <w:p>
      <w:r>
        <w:t>TI Tribunale d'appello, 2021-01-25, IT</w:t>
      </w:r>
    </w:p>
    <w:p>
      <w:r>
        <w:rPr>
          <w:b/>
        </w:rPr>
        <w:t xml:space="preserve">Quelle: </w:t>
      </w:r>
      <w:r>
        <w:t>https://mcp.opencaselaw.ch/entscheid/ti_gerichte_35.2020.61</w:t>
      </w:r>
    </w:p>
    <w:p>
      <w:r>
        <w:t>FR: TI_GERICHTE 35.2020.61 du 25 janvier 2021</w:t>
      </w:r>
    </w:p>
    <w:p>
      <w:r>
        <w:t>IT: TI_GERICHTE 35.2020.61 del 25 gennaio 2021</w:t>
      </w:r>
    </w:p>
    <w:p>
      <w:pPr>
        <w:pStyle w:val="Heading2"/>
      </w:pPr>
      <w:r>
        <w:t>Erwägungen</w:t>
      </w:r>
    </w:p>
    <w:p>
      <w:r>
        <w:rPr>
          <w:b/>
        </w:rPr>
        <w:t>E. 3</w:t>
      </w:r>
    </w:p>
    <w:p>
      <w:r>
        <w:t>febbraio 2012, concernente il caso di un’assicurata la quale era stata urtata da un veicolo che viaggiava sulla corsia opposta, di notte, ad una velocità di circa 80 km/h, il quale dopo avere invaso l’altra corsia era andato a collidere dapprima con l’automobile del marito dell’assicurata (che viaggiava davanti a lei) e, dopo aver girato su se stesso, con la sua. Anche in una STF 8C_560/2015 del 29 aprile 2016, il TF ha qualificato come infortunio di grado medio propriamente detto quello occorso ad un assicurato, il quale, dopo essersi addormentato al volante della propria automobile, è andato ad urtare contro la barriera delimitante la parte destra della carreggiata, rigirandosi più volte su se stesso prima di uscire di strada. 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Secondo il TCA, il sinistro qui in discussione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(DTF 140 V 356 consid. 5.6.1.).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l'Alta Corte è giunta alla medesima conclusione nei casi, citati in precedenza, di assicurati vittime di incidenti della circolazione analoghi a quello qui in discussione (cfr. STF 8C_948/2012 del 7 marzo 2013; 8C_354/2011 del 3 febbraio 2012; 8C_560/2015 del 29 aprile 2016 ). Nell’infortunio del 24 agosto 2017, l’assicurata ha riportato un trauma cranico minore con ferita lacero-contusa occipitale, una ferita lacero-contusa al gomito destro, la frattura della componente ileale dell’acetabolo destro, la frattura della branca ileopubica destra e un distacco posteriore vitreo traumatico. Ella ha, inoltre, sviluppato una reazione acuta da stress post-traumatico. In un secondo tempo, visto il perdurare della sintomatologia dolorosa, l’assicurata è stata sottoposta a diversi accertamenti clinici e radiologici (i quali non hanno messo in luce patologie munite di sostrato organico oggettivabile) e ha sviluppato una sintomatologia depressiva.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L’incidente deve mettere in pericolo la vita del paziente (sentenze 8C_9/2010 dell’11 giugno 2010 consid. 3.7 e 8C_806/2009 del 15 gennaio 2010 consid. 4.1.3 con riferimenti). Alla luce di quanto precede, secondo questa Corte, l’assicurata ha certo riportato dei danni alla salute di una certa rilevanza, ma questi ultimi non costituiscono ancora delle lesioni organiche gravi o particolarmente idonee a provocare un'elaborazione psichica abnorme ai sensi della giurisprudenza (in questo senso, si vedano del resto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la STF 8C_197/2009 del 19 novembre 2009 consid. 3.6 relativa a un politrauma definito dai medici come grave con trauma toracico e addominale nonché fratture aperte del cranio, la STF 8C_991/2009 del 6 maggio 2010 consid. 7.3 a proposito di una frattura della vertebra D7 con residua deformazione a cuneo, la 8C_737/2008 del 29 maggio 2009 consid. 4.3 relativa a delle fratture del naso, del bacino, delle costole IV, V e X a destra e di un pneumotorace,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 Non può, quindi, essere ammesso il criterio qui in discussione. Dalle carte processuali non risulta neppure che l’insorgente sia rimasta vittima di una cura medica errata e notevolmente aggravante degli esiti dell'evento traumatico. Questo Tribunale ritiene che non si possa parimenti pretendere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 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Nel caso di specie, dalla documentazione agli atti emerge che l’assicurata è stata sottoposta ad un intervento chirurgico (revisione della ferita del gomito con asportazione di un corpo estraneo e bursectomia nonché revisione e sutura della ferita occipitale) e poi a delle cure conservative. Come correttamente indicato dall’amministrazione, “dall’infortunio sono trascorsi tre anni unicamente perché, considerato che l’assicurata lamentava dei dolori persistenti, ella è stata esaminata da diversi specialisti, che non hanno rilevato nulla di particolare” (cfr. doc. III). Da ricordare che la lunghezza degli accertamenti per stabilire la natura del disturbo non è rilevante (STF 8C_729/2012 del 4 aprile 2013 consid. 8.3.). Non può quindi essere considerato adempiuto il criterio qui in discussione. È d’altronde utile segnalare che l’Alta Corte ha negato l’adempimento di questo criterio, trattandosi di un assicurato che nel luglio 2007, a seguito della caduta da una terrazza, aveva riportato fratture a livello dei calcagni e del corpo vertebrale di L3, e che perciò era stato sottoposto a quattro interventi operatori tra il 2007 e il 2011 (cfr. STF 8C_933/2014 del 22 aprile 2015 consid. 3.2.2.2) oppure trattandosi di un’assicurata, vittima di un incidente stradale con diverse fratture a livello dell’estremità superiore destra, che era stata sottoposta a quattro interventi chirurgici, che era stata ospedalizzata in due occasioni (la prima per circa tre settimane, la seconda per oltre un mese) e che, per il resto, le era stata prescritta una terapia farmacologica e l’esecuzione di fisio- ed ergoterapia ambulatoriale (cfr. STF 8C_729/2012 del 4 aprile 2013 consid. 8.3; in questo senso, si veda pure la STF 8C_175/2010 del 14 febbraio 2011 consid. 5.4), Il Tribunale federale ne ha per contro riconosciuto la realizzazione, trattandosi di un assicurato, vittima di un incidente della circolazione stradale con commotio cerebri , frattura al gomito sinistro, frattura della patella del ginocchio sinistro e frattura del plateau tibiale destro, che aveva dovuto subire (in particolare) sette interventi chirurgici, l’ultimo dei quali eseguito più di sette anni dopo l’evento infortunistico (cfr. STF 8C_137/2014 del 5 giugno 2014 consid. 7.3). Da parte sua, il TCA ne ha ammesso l’adempimento in una sentenza 35.2014.2 del 17 settembre 2014 consid. 2.12, riguardante un assicurato, anch’egli vittima di un incidente stradale, le cui conseguenze avevano necessitato di ben dieci operazioni chirurgiche, l’ultima delle quali eseguita a distanza di sei anni e mezzo circa dall’infortunio.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presente fattispecie, l’assicurata non è stata sottoposta a trattamenti particolari, se non a delle cure conservative. Dagli atti non emerge alcun elemento oggettivo che permetta di concludere che il decorso della cura sia sfavorevole e che siano intervenute complicazioni, ribadito che non possono essere presi in considerazione gli ulteriori trattamenti medici in ambito psichiatrico di cui necessita l’assicurata, posto che, come ricordato in precedenza, nell'apprezzamento dell’adeguatezza del nesso di causalità in materia di turbe psichiche i disturbi psichici vanno esclusi. In queste condizioni, può rimanere indeciso se sono soddisfatti il criterio dei dolori somatici persistenti e quello del grado e durata dell'incapacità lavorativa dovuta alle lesioni fisiche,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questo Tribunale deve concludere che le turbe psichiche di cui soffre la ricorrente, non costituiscono una conseguenza adeguata dell’evento infortunistico occorsole il 24 agosto 2017. Se ne deduce quindi che l’assicuratore resistente era legittimato a negare la propria responsabilità al riguardo. Di conseguenza, questi disturbi non possono essere presi in considerazione nell’ambito della valutazione del diritto a prestazioni.</w:t>
      </w:r>
    </w:p>
    <w:p>
      <w:r>
        <w:rPr>
          <w:b/>
        </w:rPr>
        <w:t>E. 29</w:t>
      </w:r>
    </w:p>
    <w:p>
      <w:r>
        <w:t>aprile 2016).</w:t>
      </w:r>
    </w:p>
    <w:p>
      <w:r>
        <w:t>Alla luce di quanto precede, secondo questa Corte, lassicurata ha certo riportato dei danni alla salute di una certa rilevanza, ma questi ultimi non costituiscono ancora delle lesioni organiche gravi o particolarmente idonee a provocare un'elaborazione psichica abnorme ai sensi della giurisprudenza (in questo senso, si vedano del resto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la STF 8C_197/2009 del 19 novembre 2009 consid. 3.6 relativa a un politrauma definito dai medici come grave con trauma toracico e addominale nonché fratture aperte del cranio, la STF 8C_991/2009 del 6 maggio 2010 consid. 7.3 a proposito di una frattura della vertebra D7 con residua deformazione a cuneo, la 8C_737/2008 del 29 maggio 2009 consid. 4.3 relativa a delle fratture del naso, del bacino, delle costole IV, V e X a destra e di un pneumotorace, la STF 8C_52/2008 del 5 settembre 2008 consid. 8.2, concernente un assicurato che, caduto dopo essere stato urtato da unautovettura, aveva accusato unacommotio cerebri,una contusione toracica a destra con una serie di fratture costali, nonché alcune ferite lacero-contuse alla parte sinistra del volto,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w:t>
      </w:r>
    </w:p>
    <w:p>
      <w:r>
        <w:t>Il Tribunale federale ne ha per contro riconosciuto la realizzazione, trattandosi di un assicurato, vittima di un incidente della circolazione stradale concommotio cerebri, frattura al gomito sinistro, frattura della patella del ginocchio sinistro e frattura del plateau tibiale destro, che aveva dovuto subire (in particolare)setteinterventi chirurgici, lultimo dei quali eseguito più di sette anni dopo levento infortunistico (cfr. STF 8C_137/2014 del 5 giugno 2014 consid. 7.3). Da parte sua, il TCA ne ha ammesso ladempimento in una sentenza 35.2014.2 del 17 settembre 2014 consid. 2.12, riguardante un assicurato, anchegli vittima di un incidente stradale, le cui conseguenze avevano necessitato di bendiecioperazioni chirurgiche, lultima delle quali eseguita a distanza di sei anni e mezzo circa dallinfortunio.</w:t>
      </w:r>
    </w:p>
    <w:p>
      <w:r>
        <w:t>Anche il criterio del decorso sfavorevole della cura e le complicazioni rilevanti intervenute, non è adempiuto.</w:t>
      </w:r>
    </w:p>
    <w:p>
      <w:r>
        <w:t>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w:t>
      </w:r>
    </w:p>
    <w:p>
      <w:r>
        <w:t>In esito a quanto precede, questo Tribunale deve concludere che le turbe psichiche di cui soffre la ricorrente, non costituiscono una conseguenza adeguata dellevento infortunistico occorsole il 24 agosto 2017. Se ne deduce quindi che lassicuratore resistente era legittimato a negare la propria responsabilità al riguardo.</w:t>
      </w:r>
    </w:p>
    <w:p>
      <w:r>
        <w:t>Di conseguenza, questi disturbi non possono essere presi in considerazione nellambito della valutazione del diritto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