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35.2020.56 vom 15. Juli 2020</w:t>
      </w:r>
    </w:p>
    <w:p>
      <w:r>
        <w:t>TI Tribunale d'appello, 2020-07-15, IT</w:t>
      </w:r>
    </w:p>
    <w:p>
      <w:r>
        <w:rPr>
          <w:b/>
        </w:rPr>
        <w:t xml:space="preserve">Quelle: </w:t>
      </w:r>
      <w:r>
        <w:t>https://mcp.opencaselaw.ch/entscheid/ti_gerichte_35.2020.56</w:t>
      </w:r>
    </w:p>
    <w:p>
      <w:r>
        <w:t>FR: TI_GERICHTE 35.2020.56 du 15 juillet 2020</w:t>
      </w:r>
    </w:p>
    <w:p>
      <w:r>
        <w:t>IT: TI_GERICHTE 35.2020.56 del 15 luglio 2020</w:t>
      </w:r>
    </w:p>
    <w:p>
      <w:pPr>
        <w:pStyle w:val="Heading2"/>
      </w:pPr>
      <w:r>
        <w:t>Regeste</w:t>
      </w:r>
    </w:p>
    <w:p>
      <w:r>
        <w:t>Ricorso irricevibile per incompetenza territoriale del TCA: ricorrente domiciliato all'estero e ultimo datore di lavoro non ha la sede nel Canton Ticino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Con la risposta di causa l’assicuratore resistente ha sollevato l’eccezione d’ incompetenza territoriale di questo Tribunale (cfr. doc. III, p. 2). Il TCA è quindi tenuto a verificare preliminarmente tale aspetto. 2.3.   Secondo l’art. 52 cpv. 1 LPGA, le decisioni possono essere impugnate entro trenta giorni facendo opposizione presso il servizio che le ha notificate. A norma dell’art. 56 cpv. 1 LPGA, le decisioni su opposizione e quelle contro cui un’opposizione è esclusa possono essere impugnate mediante ricorso. L’art. 58 LPGA stabilisce che competente è il tribunale delle assicurazioni del Cantone dove l’assicurato o il terzo è domiciliato nel momento in cui interpone ricorso (cpv.1).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(cpv. 2). L’autorità che si considera incompetente trasmette senza indugio il ricorso al competente tribunale delle assicurazioni (cpv. 3). 2.4.   Nel caso di specie, dagli atti risulta che l’assicurato è da sempre domiciliato nel Comune di __________ (Italia - Provincia di __________) (cfr. doc. I), quindi all’estero. Si evince inoltre che il suo ultimo datore di lavoro, la ditta __________, ha la propria sede a __________, frazione del Comune di __________, nel Cantone __________ (cfr. estratto del Registro di commercio del Cantone __________). Nel Registro di commercio del Cantone Ticino non è peraltro iscritta alcuna succursale della ditta in questione (su questo aspetto, si veda la DTF 144 V 313). In queste condizioni, il ricorso sub judice si rivela irricevibile per mancanza di competenza ratione loci . Gli atti vanno trasmessi al Tribunale amministrativo del Cantone __________ per ragione di competenza (cfr. art. 58 cpv. 3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