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35.2020.49 vom 25. Januar 2021</w:t>
      </w:r>
    </w:p>
    <w:p>
      <w:r>
        <w:t>TI Tribunale d'appello, 2021-01-25, IT</w:t>
      </w:r>
    </w:p>
    <w:p>
      <w:r>
        <w:rPr>
          <w:b/>
        </w:rPr>
        <w:t xml:space="preserve">Quelle: </w:t>
      </w:r>
      <w:r>
        <w:t>https://mcp.opencaselaw.ch/entscheid/ti_gerichte_35.2020.49</w:t>
      </w:r>
    </w:p>
    <w:p>
      <w:r>
        <w:t>FR: TI_GERICHTE 35.2020.49 du 25 janvier 2021</w:t>
      </w:r>
    </w:p>
    <w:p>
      <w:r>
        <w:t>IT: TI_GERICHTE 35.2020.49 del 25 gennaio 2021</w:t>
      </w:r>
    </w:p>
    <w:p>
      <w:pPr>
        <w:pStyle w:val="Heading2"/>
      </w:pPr>
      <w:r>
        <w:t>Regeste</w:t>
      </w:r>
    </w:p>
    <w:p>
      <w:r>
        <w:t>Discussa l'entità della rendita d'invalidità spettante all'assicurato. Reddito da valida da determinare in applicazione del CNM (lavori in sotterraneo), anziché in base a dati statistici riferiti al settore delle costruzioni. Rinvio atti all'amministrazione per relativa concretizzazione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Litigiosa è l’entità della rendita d’invalidità spettante all’assicurato.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Nella concreta evenienza, dalla decisione su opposizione impugnata si evince che, dopo aver interpellato la fiduciaria dell’ex datore di lavoro ed aver così appreso che la ditta __________ non ha più impiegato dipendenti dal 2016 e che è stata liquidata nel 2019 (donde l’impossibilità di ottenere il valore richiesto – cfr. doc. 251), l’CO 1 ha determinato il reddito da valido facendo capo ai dati salariali statistici pubblicati periodicamente dall’Ufficio federale di statistica. Esso ha quindi applicato la tabella RSS TA 1 2016, settore economico 41-43 (“ Costruzioni ”), livello di competenze 2, uomini, ottenendo, compiuto l’adeguamento all’indice dei salari nominali (dal 2016 al 2017), l’importo di fr. 73'456.10. L’assicuratore resistente ha peraltro precisato che l’esito non sarebbe diverso nemmeno qualora si volesse applicare la Convenzione addizionale al Contratto nazionale mantello (CNM) per l’edilizia principale relativa ai lavori in sotterraneo. In effetti, in quel caso, il reddito da valido per il 2017 ammonterebbe a fr. 73'213.75 (fr. 32 x 2'112 ore/anno + 8.33% di tredicesima mensilità) (doc. 262, p. 7 s.). Da parte sua, il rappresentante dell’assicurato contesta il procedere seguito dall’istituto assicuratore per determinare il reddito senza invalidità. A suo avviso, anziché applicare i dati salariali statistici relativi al settore delle costruzioni, l’amministrazione avrebbe dovuto interpellare la società madre in __________ della __________ oppure interpellare delle società attive in Svizzera nella costruzione di tunnel. D’altro canto, egli contesta che i salari previsti dal CNM sarebbero inferiori a quelli medi risultanti dalla RSS, posto che “… oltre al salario minimo menzionato (da intendere quello previsto dal CNM, n.d.r.), sono concesse indennità e supplementi sostanziali, che non sono inclusi nei salari di base della RSS come componente salariale aggiuntiva.” (doc. III 1). Conformemente alla giurisprudenza, per fissare il reddito da valido, occorre stabilire quello che l’assicurato avrebbe – con il grado della verosimiglianza preponderante – potuto realmente realizzare al momento determinante, qualora non fosse invalido. Il reddito senza invalidità deve essere valutato nella maniera più concreta possibile , ragione per la quale esso viene desunto di principio dall’ultimo salario conseguito dalla persona assicurata prima dell’insorgenza del danno alla salute, tenuto conto dell’evoluzione dei salari, siccome dall’esperienza empirica risulta che la precedente attività lavorativa sarebbe continuata senza il danno alla salute; eccezioni devono essere accertate con la verosimiglianza preponderante (DTF 139 V 28 consid. 3.3.2). Allorché un salario concreto non può essere accertato – ad esempio la persona assicurata era disoccupata al momento dell’infortunio oppure avrebbe perso il suo precedente posto di lavoro anche senza l’infortunio - possono essere utilizzati i dati della rilevazione svizzera della struttura dei salari (RSS) editi dall’Ufficio federale di statistica (cfr. STF 8C_720/2017 del 12 marzo 2018 consid. 5.1 e riferimento ivi menzionato; si veda pure L. Grisanti, Nuove regole per la valutazione dell’invalidità, in RtiD II-2006, p. 316). In una sentenza STF 8C_778/2017 del 25 aprile 2018, il Tribunale federale ha precisato che nella misura in cui tengono meglio conto delle differenti categorie di attività rispetto ai dati statistici salariali di cui alle RSS, i salari fissati secondo il CNM per l’edilizia principale rispettano maggiormente il principio secondo il quale il reddito senza invalidità deve essere calcolato nella maniera più concreta possibile. L’Alta Corte ha, infatti, rilevato che: " (…) 4.4. Le recourant reproche en outre à la cour cantonale d'avoir retenu, sur la base de la convention collective de travail de la construction, un revenu sans invalidité de 73'786 fr., soit un montant inférieur à celui de 78'866 fr. 95 (recte: 76'766 fr. 95) pris en compte par l'office AI en fonction des statistiques salariales. Il invoque une violation du principe de coordination de l'évaluation de l'invalidité dans l'assurance-invalidité et l'assurance-accidents, et soutient que le montant statistique plus élevé doit en l'occurrence être retenu. Ce point de vue ne saurait être partagé. En effet, dans la mesure où ils tiennent mieux compte des différentes catégories d'activités que les statistiques salariales, les salaires fixés par la convention collective de travail de la construction sont mieux à même de respecter le principe selon lequel le revenu sans invalidité doit être évalué de la manière la plus concrète possible (cf. arrêts 8C_643/2016 du 25 avril 2017 consid. 4.2; 9C_363/2016 du 12 décembre 2016 consid. 5.3.1; 8C_515/2013 du 14 avril 2014 consid. 3.2).” In concreto, l’amministrazione ha innanzitutto accertato che, terminati i lavori per la costruzione della __________ (nel 2016), la __________ non ha più impiegato dipendenti sino ad essere stata liquidata nel 2019 (doc. 251). Ciò significa che, anche qualora non avesse subito l’infortunio assicurato, nel 2017 RI 1 non si sarebbe più trovato alle dipendenze di quel datore di lavoro. In queste condizioni, il TCA non può seguire il rappresentante del ricorrente allorquando sostiene che l’assicuratore avrebbe dovuto, in prima battuta, cercare di ottenere il dato salariale determinante dalla società madre in __________ della __________. Come già indicato in precedenza, il reddito da valido è stato determinato applicando il salario statistico medio relativo al settore delle costruzioni. Ora, posto come non sia contestato il fatto che, nel caso in cui non si fosse infortunato, l’assicurato avrebbe verosimilmente continuato a lavorare nel campo della costruzione di gallerie (in questo senso, non è un caso se, con la decisione formale del 25 giugno 2013, l’CO 1 aveva fissato il reddito da valido in base ai dati salariali forniti dall’ex datore di lavoro [cfr. doc. 137]; si veda pure la decisione su opposizione impugnata in cui si fa esplicito accenno alla lunga esperienza professionale dell’insorgente quale macchinista nella costruzione di gallerie [doc. 262, p. 7]), questo Tribunale non ritiene che facendo capo ai dati statistici riferiti al settore delle costruzioni, l’assicuratore abbia determinato il reddito da valido in conformità alla giurisprudenza federale, ovvero nella maniera più concreta possibile. In effetti, così come lo ha sottolineato anche il patrocinatore dell’insorgente (cfr. doc. III 1, p. 7), i salari statistici non appaiono sufficientemente rappresentativi di quelle che sono le peculiarità retributive proprie allo specifico settore dei lavori in sotterraneo. In questo ordine di idee, basti sottolineare che, nell’anno precedente l’infortunio, lavorando alle dipendenze della __________, RI 1 aveva realizzato un reddito di fr. 94'293.16 /anno (cfr. doc. 134, p. 1), un reddito già a quel momento decisamente più elevato rispetto a quello ritenuto dall’CO 1 nella decisione su opposizione impugnata (fr. 73'456.10). Alla luce di quanto precede e in ossequio ai principi giurisprudenziali citati in precedenza, secondo il TCA, il reddito senza invalidità deve quindi essere fissato in applicazione del CNM e meglio delle norme previste dalla Convenzione addizionale al CNM per i lavori in sotterraneo (Appendice 12). Con riferimento al calcolo effettuato dall’amministrazione a pagina 7 della decisione impugnata, essa ha correttamente stabilito il salario base, tenendo conto che, a norma dell’art. 20 della Convenzione addizionale, determinanti sono i salari base della zona rossa ai sensi dell’art. 41 CNM e che, in virtù dell’art. 21 della Convenzione addizionale, il ricorrente ricade nella classe salariale Q (“ Lavoratori diplomati ”, cfr. art. 42 CNM). L’assicuratore resistente non può invece essere seguito laddove ha completamente omesso di tenere in considerazione quei supplementi salariali previsti dalla Convenzione addizionale al CNM (cfr. art. 11 e segg.), necessariamente legati allo svolgimento di lavori in sotterraneo. In queste condizioni, annullata la decisione su opposizione impugnata, gli atti vengono rinviati all’CO 1 affinché determini nuovamente il reddito da valido conformemente a quanto è appena stato indicato. 2.6.   Per quanto riguarda il reddito da invalido, nel caso concreto, l’istituto resistente lo ha quantificato in fr. 31'858.55, facendo capo alla tabella RSS TA 1 2016, media totale, livello di competenze 1, uomini, aggiornato al 2017, applicando dapprima una riduzione del 50% in ragione della limitata capacità lavorativa anche in attività sostitutive residue e in seguito una decurtazione del 5% a titolo di deduzione sociale ex DTF 126 V 80 (cfr. doc. 262, p. 8 s.). Con l’impugnativa, l’entità del reddito da invalido viene contestata unicamente nella misura in cui l’CO 1 l’ha determinata applicando i dati salariali statistici, anziché il metodo delle DPL (come era stato invece il caso con la decisione formale del 25 giugno 2013) (cfr. doc. III 1, p. 7 s.). A titolo abbondanziale , questa Corte osserva che, con la sua pronunzia 35.2018.119 del 27 maggio 2019, la decisione formale del 25 giugno 2013 è stata giudicata manifestamente errata e, perciò, annullata (revocata) per la via della riconsiderazione ex art. 53 cpv. 2 LPGA. Il ricorrente è pertanto malvenuto a sostenere che l’amministrazione sarebbe stata in qualche modo vincolata all’utilizzo delle DPL, in quanto la sua domanda di riconsiderazione della decisione di rendita verteva esclusivamente sull’aspetto dell’entità della capacità lavorativa residua. D’altro canto, sempre secondo il TCA, l’CO 1 non ha violato il diritto federale determinando il reddito da invalido applicando i dati salariali statistici. Al riguardo va innanzitutto sottolineato che l’assicuratore in questione ha definitivamente cessato di utilizzare il metodo delle DPL a far tempo dal 1° gennaio 2019 (in proposito, si veda la STF 8C_517/2019 del 26 settembre 2019 consid. 6.1). D’altra parte, l’utilizzo dei dati statistici (tabella RSS TA 1 a valenza nazionale) si giustifica anche alla luce del fatto che il reddito da valido va fissato facendo capo a dei dati salariali nazionali (per i lavori in sotterraneo, la Convenzione addizionale al CNM prescrive in effetti di applicare a tutti i cantieri i salari base della zona rossa – cfr. supra , consid.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