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35.2020.30 vom 22. März 2019</w:t>
      </w:r>
    </w:p>
    <w:p>
      <w:r>
        <w:t>TI Tribunale d'appello, 2019-03-22, IT</w:t>
      </w:r>
    </w:p>
    <w:p>
      <w:r>
        <w:rPr>
          <w:b/>
        </w:rPr>
        <w:t xml:space="preserve">Quelle: </w:t>
      </w:r>
      <w:r>
        <w:t>https://mcp.opencaselaw.ch/entscheid/ti_gerichte_35.2020.30_d20190322</w:t>
      </w:r>
    </w:p>
    <w:p>
      <w:r>
        <w:t>FR: TI_GERICHTE 35.2020.30 du 22 mars 2019</w:t>
      </w:r>
    </w:p>
    <w:p>
      <w:r>
        <w:t>IT: TI_GERICHTE 35.2020.30 del 22 marzo 2019</w:t>
      </w:r>
    </w:p>
    <w:p>
      <w:pPr>
        <w:pStyle w:val="Heading2"/>
      </w:pPr>
      <w:r>
        <w:t>Regeste</w:t>
      </w:r>
    </w:p>
    <w:p>
      <w:r>
        <w:t>Oggetto del contendere è la questione di sapere se l’assicuratore era legittimato a negare, ai sensi dell’art. 23 cpv. 8 OAINF, la concessione delle indennità giornaliere a dipendenza dell’intervento chirurgico del 22 marzo 2019, oppure no. Decisione confermata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l’CO 1 era legittimato a negare, ai sensi dell’art. 23 cpv. 8 OAINF, la concessione delle indennità giornaliere a dipendenza dell’intervento chirurgico del 22 marzo 2019, oppure no. Preliminarmente il TCA rileva che, dal momento che la decisione impugnata delimita il litigio (cfr. STF 9C_636/2015 del 2 febbraio 2016, consid. 1 con riferimenti), esula dalla presente procedura la domanda ricorsuale, giusta la quale “ La CO 1 dovrà stabilire l’importo della rendita di invalidità dovuta all’assicurato e le indennità per menomazione dell’integrità conseguente a partire dal 27 settembre 2019 ” (cfr. doc. I, pag. 13), sulla quale l'Istituto assicuratore resistente non si è determinato con la decisione formale qui impugnata. La relativa richiesta è, pertanto, irricevibile. Parimenti dicasi per le censure ricorsuali volte a contestare la STCA 35.2018.53 del 17 dicembre 2018 che, come riportato al consid. 1.3, è cresciuta in giudicato. 2.3.   Giusta l’art. 6 cpv. 1 LAINF, le prestazioni assicurative vengono corrisposte in caso di infortunio professionale, d’infortunio non professionale e di malattia professionale. In virtù dell’art. 11 OAINF, l’assicuratore LAINF è tenuto a riprendere l’erogazione delle prestazioni assicurative in caso di ricadute o conseguenze tardive dell’evento assicurato (cfr. Ghélew, Ramelet, Ritter, Commentaire de la loi sur l'assurance-accidents (LAA), Losanna 1992,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del 31 luglio 2001 nella causa H., U 122/00). La ricaduta e le conseguenze tardive hanno tra loro in comune la circostanza che sono entrambe imputabili a un danno alla salute ritenuto apparentemente, ma non nei fatti, guarito. Si è in presenza di una ricaduta quando è la stessa affezione che si manifesta nuovamente. Una conseguenza tardiva è invece data quando un danno alla salute all’apparenza guarito sviluppa, trascorso diverso tempo, delle alterazioni organiche o psichiche che producono uno stato patologico differente (cfr. DTF 123 V 137, consid. 3a e riferimenti ivi menzionati). 2.4.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op. cit., p. 91). 2.5.   A norma dell’art. 15 cpv. 1 LAINF, le indennità giornaliere e le rendite sono calcolate in base al guadagno assicurato. Il cpv. 2 stabilisce che per il calcolo delle indennità giornaliere è considerato guadagno assicurato l’ultimo salario riscosso prima dell’infortunio; per il calcolo delle rendite, quello riscosso durante l’anno precedente l’infortunio. Il medesimo art. 15, al suo cpv. 3, permette al Consiglio federale di emanare disposizioni particolari, segnatamente in caso di diritto alle indennità giornaliere per un lungo periodo (lett. a), in caso di malattia professionale (lett. b), quando l’assicurato non riscuota affatto, o non ancora, il salario consueto nella sua professione (lett. c) e qualora l’assicurato sia occupato in modo irregolare (lett. d).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(Ghélew, Ramelet, Ritter, op. cit., p. 83 e giurisprudenza ivi menzionata). Di regola, è considerato guadagno assicurato il salario determinante ai sensi degli artt. 5 cpv. 2 LAVS e 6ss. OAVS (cfr. art. 22 cpv. 2 OAINF). L'art. 22 cpv. 3 OAINF prevede, nuovamente, che l’indennità giornaliera è calcolata in base all’ultimo salario ricevuto dall’assicurato prima dell’infortunio, inclusi gli elementi del salario non ancora versati che gli sono dovuti. Derogando al principio posto dagli artt. 15 cpv. 2 prima frase LAINF e 22 OAINF, l'art. 23 OAINF definisce il salario determinante per l’indennità giornaliera in alcuni casi speciali. Per quanto qui d'interesse, il cpv. 8 dell'art. 23 OAINF prevede che in caso di ricaduta è determinante il salario ottenuto immediatamente prima di questa, tuttavia almeno pari al 10 per cento dell’importo massimo del guadagno giornaliero assicurato, salvo per i beneficiari di rendite dell’assicurazione sociale. 2.6.   Tornando al caso di specie, il TCA osserva che - come peraltro già rilevato anche nella decisione del 3 agosto 2020, cresciuta incontestata in giudicato, con cui questa Corte ha respinto l’istanza del 27 marzo 2020 tendente alla concessione dell’assistenza giudiziaria, citata in narrativa al consid. 1.9) - è incontestabile che il noto intervento d’impianto di protesi del ginocchio debba essere trattato quale (nuova) ricaduta del pregresso infortunio, e ciò alla luce del fatto che, con sentenza 35.2018.53 del 17 dicembre 2018, cresciuta in giudicato, il TCA ha accertato la stabilizzazione delle condizioni di salute infortunistiche a seguito della (prima) ricaduta del luglio 2017 (cfr. consid. 1.3). In siffatte circostanze, non consentono di giungere ad una diversa conclusione i generici e stringati certificati rilasciati il 14 febbraio 2020 (giusta il quale “ il paziente a margine è stato inabile al lavoro nella misura del 100% dal 25.10.2018 fino al 26.09.2019 per qualsiasi attività lavorativa. ”) e il 27 febbraio 2020 (giusta il quale “ il sopracitato paziente è inabile al lavoro nella misura del 100% dal 23.08.2018 al 25.10.2018 compreso. Motivo: infortunio. Osservazioni: inabilità al 100% per qualsiasi attività lavorativa. ”) del dr. med. __________, Medico Caposervizio dell’ambulatorio di ortopedia e traumatologia dell’Ospedale __________ di __________ (doc. 522 e 523). L’entrata in ospedale dell’assicurato per l’intervento di protesi totale del ginocchio destro per artrosi, del 22 marzo 2019 ha, quindi, determinato una nuova ricaduta ex. art. 11 OAINF. Questa ricaduta è stata assunta il 31 ottobre 2019 dall’CO 1, che ha riconosciuto all’assicurato, le spese di cura e di riabilitazione ma non le indennità giornaliere visto che, in quel momento, egli non solo era professionalmente inattivo ma anche al beneficio di una rendita CO 1 (doc. 490, 504 e 519). L’assicurato ha contestato questa decisione facendo valere che l'art. 23 cpv. 8 OAINF è inapplicabile alla fattispecie, visto che era beneficiario di indennità di disoccupazione interrotte a causa dell’inabilità lavorativa dovuta alla ricaduta (doc. XVI). A suffragio delle proprie argomentazioni il patrocinatore ha versato agli atti i conteggi della Cassa __________ dei mesi di febbraio-agosto 2018 (doc. XVI/1-XVI/7). Chiamato ora a pronunciarsi in causa, questo Tribunale ritiene che, posto che il ricorrente è rimasto vittima di una ricaduta ai sensi dell’art. 11 OAINF, l’amministrazione ha invece correttamente applicato il cpv. 8 dell’art. 23 OAINF, ritenendo pertanto determinante, in ossequio alla giurisprudenza sopra citata, il salario ottenuto immediatamente prima della ricaduta del 22 marzo 2019. Questa Corte ha del resto deciso in tal senso in una sentenza 35.2011.74 del 16 aprile 2012, nel caso di un assicurato che aveva anch’esso annunciato una ricaduta a causa di disturbi lamentati al ginocchio destro. L’Alta Corte, con sentenza 8C_246/2012 datata 22 agosto 2012, aveva poi stralciato dai ruoli il ricorso presentato dall’assicurato contro questo giudizio, dato che, prima della decisione, il suo patrocinatore lo aveva ritirato. Questa giurisprudenza è stata inoltre confermata anche nelle STCA 35.2017.70 del 12 ottobre 2017 e STCA 32.2017.96 del 4 dicembre 2017. Sul tema cfr. anche la STF 8C_778/2016 del 1° settembre 2017, commentata in SZS/RSAS 61/2017 a pag. 649 e ss., in cui l'Alta Corte ha statuito che - laddove l'incapacità lavorativa insorge in un secondo tempo rispetto all'annuncio di ricaduta e nel frattempo l'assicurato ha svolto un'attività lucrativa - deve essere considerato, ai fini della determinazione del guadagno assicurato, il reddito percepito dopo l'annuncio di ricaduta qualora risulta maggiormente favorevole all'assicurato rispetto a quello percepito immediatamente prima dell'annuncio di ricaduta. Di conseguenza, nel caso concreto, visto che immediatamente prima (come pure dopo) della ricaduta del 22 marzo 2019 l’assicurato non solo era professionalmente inattivo, ma anche al beneficio di una rendita CO 1, le obiezioni formulate da RI 1 sono prive di fondamento. In effetti, l’inabilità attestata dal medico non ha alcuna influenza sulla situazione finanziaria dell’assicurato, visto che egli continua a percepire la rendita CO 1 e, non lavorando, non presenta alcun tipo di discapito finanziario, e questo, malgrado il ripristino delle cure ed in particolare dell’intervento. In siffatte circostanze, non consentono di giungere ad una diversa conclusione i conteggi della Cassa __________ dei mesi di febbraio-agosto 2018 (doc. XVI/1-XVI/7), che non sono immediatamente prima (o dopo) della ricaduta del 22 marzo 2019. In conclusione quindi, l’amministrazione era legittimata a negare la concessione d’indennità giornaliere a seguito della ricaduta del 22 marzo 2019. In esito alle considerazioni che precedono il gravame dev'essere respinto e la decisione su opposizione dell’11 marzo 2020 confermata. 2.7.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