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35.2020.29 vom 23. November 2020</w:t>
      </w:r>
    </w:p>
    <w:p>
      <w:r>
        <w:t>TI Tribunale d'appello, 2020-11-23, IT</w:t>
      </w:r>
    </w:p>
    <w:p>
      <w:r>
        <w:rPr>
          <w:b/>
        </w:rPr>
        <w:t xml:space="preserve">Quelle: </w:t>
      </w:r>
      <w:r>
        <w:t>https://mcp.opencaselaw.ch/entscheid/ti_gerichte_35.2020.29</w:t>
      </w:r>
    </w:p>
    <w:p>
      <w:r>
        <w:t>FR: TI_GERICHTE 35.2020.29 du 23 novembre 2020</w:t>
      </w:r>
    </w:p>
    <w:p>
      <w:r>
        <w:t>IT: TI_GERICHTE 35.2020.29 del 23 novembre 2020</w:t>
      </w:r>
    </w:p>
    <w:p>
      <w:pPr>
        <w:pStyle w:val="Heading2"/>
      </w:pPr>
      <w:r>
        <w:t>Regeste</w:t>
      </w:r>
    </w:p>
    <w:p>
      <w:r>
        <w:t>Discussa la questione di sapere se i disturbi denunciati dall'assicurato, vittima di una caduta dalla scale con contusioni in varie parti del corpo, costituivano ancora una conseguenza naturale dell'infortunio (applicazione della giurisprudenza sui traumi vertebrali)</w:t>
      </w:r>
    </w:p>
    <w:p>
      <w:pPr>
        <w:pStyle w:val="Heading2"/>
      </w:pPr>
      <w:r>
        <w:t>Erwägungen</w:t>
      </w:r>
    </w:p>
    <w:p>
      <w:r>
        <w:rPr>
          <w:b/>
        </w:rPr>
        <w:t>E. 2</w:t>
      </w:r>
    </w:p>
    <w:p>
      <w:r>
        <w:t>e riferimenti ivi citati).</w:t>
      </w:r>
    </w:p>
    <w:p>
      <w:r>
        <w:rPr>
          <w:b/>
        </w:rPr>
        <w:t>E. 2.6</w:t>
      </w:r>
    </w:p>
    <w:p>
      <w:r>
        <w:t>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2.7.   Nella concreta evenienza, questa Corte ritiene che l’apprezzamento del dott. __________, spec. FMH in chirurgia e medico perito SIM, puntuale e ben motivato, soddisfi i criteri giurisprudenziali ricordati in precedenza. Ad esso può dunque essere riconosciuta piena forza probatoria, tanto da costituire da valida base al giudizio che il TCA è ora chiamato a rendere, senza che si riveli necessario procedere a ulteriori atti istruttori. D’altro canto, agli atti non figurano pareri specialistici suscettibili di generare dei dubbi - neppure lievi - a proposito della fondatezza della valutazione enunciata dal medico di fiducia dell’amministrazione. Dalla documentazione medica emerge in effetti l’assenza a livello delle parti del corpo interessate dal trauma di acquisite di natura traumatica ma, d’altra parte, la presenza di rilevanti alterazioni degenerative preesistenti all’infortuni (esse appaiono già sulle immagini relative agli accertamenti radio-strumentali eseguiti nelle settimane immediatamente successive all’infortunio, donde l’impossibilità che siano state causate da quest’ultimo evento). Anche la tempistica (oltre un anno: 5 giugno 2018 - 30 giugno 2019) con la quale, secondo il dott. __________, è stato raggiunto lo status quo sine vel ante in relazione al trauma contusivo del rachide subito dall’assicurato in occasione della nota caduta dalle scale, appare conforme al la dottrina medica dominante, in base alla quale dopo traumi quali contusioni o distorsioni alla colonna vertebrale, lo stato anteriore del rachide può, di regola, considerarsi ristabilito trascorsi alcuni mesi a contare dall'evento traumatico (3-4 mesi in caso di trauma alla regione lombare, rispettivamente 6-9 mesi, al massimo un anno, in presenza di preesistenti alterazioni degenerative - cfr. STFA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stata peraltro recepita dalla giurisprudenza. Quindi,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Nr. 1 p. 1; STF 8C_793/2018 del 7 maggio 2019 consid. 3.1.4; 8C_42/2017 del 16 febbraio 2017 consid. 4.3; 8C_217/2013 del 4 settembre 2013 consid. 3.4; 8C_562/2010 del 3 agosto 2011 consid. 5.1, 8C_314/2011 del 12 luglio 2011 consid. 7.2.3, 8C_416/2010 del 29 novembre 2010 consid. 3.3 e 8C_679/2010 del 10 novembre 2010 consid. 3.3). L’insorgente non può infine essere seguito laddove sostiene che l’amministrazione non avrebbe potuto porre fine alle proprie prestazioni, in quanto egli non sarebbe ancora guarito (cfr. doc. I). In effetti, la circostanza secondo la quale RI 1 lamenti ancora dei disturbi successivamente all’evento traumatico assicurato, non è decisiva per stabilire l’ulteriore diritto a prestazioni. Decisivo è invece soltanto il fatto che, a far tempo dal 1° luglio 2019, tali disturbi non sono più riconducibili all’infortunio. In esito a tutto quanto precede, questa Corte ritiene quindi dimostrato, perlomeno con il grado della verosimiglianza preponderante, caratteristico del settore della sicurezza sociale, che, dal 1° luglio 2019 - a distanza di oltre un anno dell’infortunio - i disturbi ancora accusati dal ricorrente non ne costituivano più una conseguenza naturale. Da quel momento, l’amministrazione era pertanto legittimata a negare la corresponsione di ulteriori prestazioni assicurative, indipendentemente dalla loro natura. La decisione su opposizione impugnata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