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35.2020.26 vom 22. Oktober 2020</w:t>
      </w:r>
    </w:p>
    <w:p>
      <w:r>
        <w:t>TI Tribunale d'appello, 2020-10-22, IT</w:t>
      </w:r>
    </w:p>
    <w:p>
      <w:r>
        <w:rPr>
          <w:b/>
        </w:rPr>
        <w:t xml:space="preserve">Quelle: </w:t>
      </w:r>
      <w:r>
        <w:t>https://mcp.opencaselaw.ch/entscheid/ti_gerichte_35.2020.26</w:t>
      </w:r>
    </w:p>
    <w:p>
      <w:r>
        <w:t>FR: TI_GERICHTE 35.2020.26 du 22 octobre 2020</w:t>
      </w:r>
    </w:p>
    <w:p>
      <w:r>
        <w:t>IT: TI_GERICHTE 35.2020.26 del 22 ottobre 2020</w:t>
      </w:r>
    </w:p>
    <w:p>
      <w:pPr>
        <w:pStyle w:val="Heading2"/>
      </w:pPr>
      <w:r>
        <w:t>Regeste</w:t>
      </w:r>
    </w:p>
    <w:p>
      <w:r>
        <w:t>Discussa questione relativa all'entità della menomazione per l'integrità (cicatrici), come pure quella del rimborso dei costi legati all'allestimento di un rapporto da parte del medico curante specialista</w:t>
      </w:r>
    </w:p>
    <w:p>
      <w:pPr>
        <w:pStyle w:val="Heading2"/>
      </w:pPr>
      <w:r>
        <w:t>Erwägungen</w:t>
      </w:r>
    </w:p>
    <w:p>
      <w:r>
        <w:rPr>
          <w:b/>
        </w:rPr>
        <w:t>E. 36</w:t>
      </w:r>
    </w:p>
    <w:p>
      <w:r>
        <w:t>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2.5.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È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2.6.   LCO 1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2.7.  Nel caso di specie, lassicuratore LAINF resistente, sentito il parere del proprio medico __________, ha assegnato al ricorrente unIMI del 25% (doc. 457).</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w:t>
      </w:r>
    </w:p>
    <w:p>
      <w:r>
        <w:t>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