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35.2020.11 vom 7. Oktober 2020</w:t>
      </w:r>
    </w:p>
    <w:p>
      <w:r>
        <w:t>TI Tribunale d'appello, 2020-10-07, IT</w:t>
      </w:r>
    </w:p>
    <w:p>
      <w:r>
        <w:rPr>
          <w:b/>
        </w:rPr>
        <w:t xml:space="preserve">Quelle: </w:t>
      </w:r>
      <w:r>
        <w:t>https://mcp.opencaselaw.ch/entscheid/ti_gerichte_35.2020.11</w:t>
      </w:r>
    </w:p>
    <w:p>
      <w:r>
        <w:t>FR: TI_GERICHTE 35.2020.11 du 7 octobre 2020</w:t>
      </w:r>
    </w:p>
    <w:p>
      <w:r>
        <w:t>IT: TI_GERICHTE 35.2020.11 del 7 ottobre 2020</w:t>
      </w:r>
    </w:p>
    <w:p>
      <w:pPr>
        <w:pStyle w:val="Heading2"/>
      </w:pPr>
      <w:r>
        <w:t>Erwägungen</w:t>
      </w:r>
    </w:p>
    <w:p>
      <w:r>
        <w:rPr>
          <w:b/>
        </w:rPr>
        <w:t>E. 2</w:t>
      </w:r>
    </w:p>
    <w:p>
      <w:r>
        <w:t>LAINF, in particolare lett. g  sarebbe dovuta prevalentemente allusura o alla malattia.</w:t>
      </w:r>
    </w:p>
    <w:p>
      <w:r>
        <w:t>In effetti, su questo aspetto, agli atti figurano valutazioni di medici specialisti tra loro contraddittorie, che non consentono a questo Tribunale di decidere, con tranquillità, in un senso, oppure nellaltro (per un caso analogo cfr. STF 8C_169/2019 del 10 marzo 2020, consid. 5.4-5.5). I referti del dr. med. __________ appaiono, infatti, atti a generare dubbi più che lievi circa la correttezza della valutazione del medico fiduciario.</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Litigiosa è la questione di sapere se l’assicuratore resistente era legittimato a negare la propria responsabilità a proposito dell’evento occorso l’11 dicembre 2018 a RI 1, oppure no. 2.3.   Secondo l’art. 6 cpv. 1 LAINF, per quanto non previsto altrimenti dalla legge, le prestazioni assicurative sono effettuate in caso d’infortuni professionali, d’infortuni non professionali e di malattie professionali. Il Consiglio federale può includere nell’assicurazione le lesioni corporali parificabili ai postumi d’infortunio (cpv. 2). 2.4.   L'art. 4 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vOAINF - disposizione abrogata dall'ordinanza sull'assicurazione contro gli infortuni dell'11 settembre 2002 (RU 2002 3914), in vigore dal 1° gennaio 2003 -, di modo che la relativa giurisprudenza continua ad essere applicabile. Cinque sono dunque gli elementi costitutivi essenziali dell'infortunio: " - l'involontarietà - la repentinità - il danno alla salute (fisica o psichica) - un fattore causale esterno - la straordinarietà di tale fattore" (cfr. Ghélew, Ramelet, Ritter, Commentaire de la loi sur l'assurance-accidents (LAA), Losanna 1992, p. 44-51) Scopo della definizione è di tracciare un chiaro confine tra infortunio e malattia. 2.5.   Si evince dalla nozione stessa di infortunio che il carattere straordinario non concerne gli effetti del fattore esterno ma unicamente il fattore esterno in quanto tale (cfr. RAMI 2000 U 374, p. 176). Pertanto, è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(DTF 122 V 233 consid. 1, 121 V 38 consid. 1a, 118 V 61 consid. 2b, 118 V 283 consid. 2a; RAMI 1993 p. 157ss,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2.6.   Giusta l’art. 6 cpv. 2 LAINF, introdotto nel quadro della revisione della Legge federale sull’assicurazione contro gli infortuni, entrata in vigore il 1° gennaio 2017, applicabile al caso di specie visto che l’evento annunciato dall’interessato è accaduto l’11 dicembre 2018, l’assicurazione effettua le prestazioni anche per le lesioni corporali seguenti – fratture (lett. a), lussazioni di articolazioni (lett. b), lacerazioni del menisco (lett. c), lacerazioni muscolari (lett. d), stiramenti muscolari (lett. e), lacerazioni dei tendini (lett. f), lesioni dei legamenti (lett. g) e lesioni del timpano (lett. h) - a condizione che non siano dovute prevalentemente all’usura o a una malattia. Al riguardo, è utile sottolineare che, rispetto al diritto previgente (cfr. art. 9 cpv. 2 v.OAINF), con il nuovo art. 6 cpv. 2 LAINF il legislatore federale ha rinunciato al criterio del fattore esterno. In una sentenza di principio 8C_22/2019 del 24 settembre 2019, pubblicata in DTF 146 V 51, il Tribunale federale, avuto riguardo all’applicazione dell’art. 6 cpv. 2 LAINF, ha innanzitutto stabilito che se vi è stato un infortunio ex art. 4 LPGA e l’assicurato ha riportato una lesione corporale figurante nell’elenco, l’assicuratore è tenuto a corrispondere le prestazioni assicurative in base all’art. 6 cpv. 1 LAINF. Nel caso in cui, invece, non è accaduto un infortunio ai sensi di legge, ma l’assicurato presenta, comunque, una lesione corporale giusta l’art. 6 cpv. 2 LAINF, il caso deve essere esaminato dal profilo di quest’ultima disposizione (consid. 9.1). In presenza di una lesione corporale figurante nell’elenco, l'assicuratore è di principio tenuto a corrispondere le prestazioni assicurative, fintanto che non dimostra, con il grado della verosimiglianza preponderante, che la lesione in questione è da ricondurre prevalentemente - ossia in misura maggiore al 50% (consid. 8.2.2.1) - a usura o malattia (consid. 8.2.2 e 9.1). Tale onere probatorio rende, comunque, necessario distinguere tra una lesione corporale parificata di tipo infortunistico (che deve essere assunta dall'assicurazione contro gli infortuni) ed una lesione corporale figurante nella lista, ma causata da usura e malattia (a carico dell’assicuratore contro le malattie). L’apporto della prova liberatoria presuppone che, nell’ambito dell’obbligo di accertamento ex art. 43 cpv. 1 LPGA, ricevuta la notifica relativa ad una lesione parificata ad un infortunio (art. 6 cpv. 2 lett. a-h LAINF), l’assicuratore chiarisca le circostanze in cui essa si è verificata. Occorre dunque accertare i dettagli relativi sia alla situazione anteriore, che alla prima comparsa dei disturbi lamentati dall’assicurato e ponderare, dal punto di vista medico, gli elementi che depongono in favore, o a sfavore, di un’origine della lesione dovuta all’usura o alla malattia ed è in tal senso che la questione a sapere se ha avuto luogo un evento iniziale riconoscibile e identificabile continua ad essere determinante al fine di circoscrivere l'obbligo prestativo dell'assicuratore contro gli infortuni rispetto a quello dell'assicuratore contro le malattie. Se lo spettro delle possibili cause è costituito esclusivamente da elementi che parlano a favore di un’usura o di una malattia, ne consegue inevitabilmente che è stata fornita la prova a discarico dell'assicuratore infortuni e non sono necessari ulteriori chiarimenti (consid. 8.6). La prova che una lesione corporale figurante nella lista è dovuta in maniera prevalente all'usura o a una malattia deve essere considerata fornita anche quando un assicuratore contro gli infortuni dimostra che un infortunio secondo l' art. 4 LPGA non è in nesso di causalità, nemmeno in minima misura, con la lesione in questione e non esistono indizi che una circostanza avvenuta dopo l'evento potrebbe costituirne una causa possibile (consid. 9.2). Sul tema cfr. pure STF 8C_267/2019 del 30 ottobre 2019 consid. 6 e STF 8C_169/2019 del 10 marzo 2020 consid. 5.4 e 5.5. 2.7.   Conformemente alla giurisprudenza, tocca all'assicurato rendere verosimile l'esistenza, in concreto, di tutti gli elementi costitutivi d'infortunio. Quando l'istruttoria non permette di ritenere accertati, perlomeno secondo il grado della verosimiglianza preponderante - la semplice possibilità non basta - tali elementi, il giudice constata l'assenza di prove o di indizi e, quindi, l'inesistenza giuridica dell'infortunio (cfr. DTF 114 V 305ss. consid. 5b, 116 V 136ss. consid. 4b, 111 V 201 consid. 6b; RAMI 1990 U 86, p. 50; A. Bühler, Der Unfallbegriff, in A. Koller (Hrsg.), Haftpflicht- und Versicherungsrechtstagung 1995, S. Gallo 1995, p. 267). Gli stessi principi sono applicabili alla prova dell'esistenza di una lesione parificata ad infortunio (DTF 114 V 306 consid. 5b; 116 V 141 consid. 4b). 2.8.   Nella concreta evenienza, la dinamica dell’evento dell’11 dicembre 2018 non è oggetto di discussione tra le parti. In sede di decisione su opposizione, l’assicuratore ha del resto esplicitamente ripreso le dichiarazioni rese dall’assicurato in occasione del colloquio dell’11 settembre 2019, e meglio: " In data 11 dicembre 2018 mi trovavo al __________ di __________. Stavo partecipando ad un programma occupazionale tramite la cassa disoccupazione. Stavo caricando sul furgone delle sedie di plastica con il telaio in ferro che erano stato utilizzate per una manifestazione. Aiutato da un’altra persona avevamo appoggiato una decina di sedie accatastate sul pianale. Spostando per meglio posizionarle con la mano destra le stesse avevano urtato contro un ostacolo e si erano sbilanciate verso di me. Per evitare che mi cascassero addosso avevo allungato repentinamente il braccio sinistro e le avevo afferrate su una gamba anteriore bloccando la caduta. In quel frangente avevo sentito una fitta dolente alla spalla sinistra. Dopo quanto capitato avevo dovuto interrompere l’attività svolta.” (doc. 56, pag. 4) Alla luce di quanto precede, il TCA può quindi ritenere accertato che, quell’11 dicembre 2018, mentre l’assicurato era intento a caricare su un furgone delle sedie con il telaio in metallo, per evitare che una pila degli oggetti in questione gli cascasse addosso, ha fatto un movimento con il braccio sinistro e, afferrando la gamba di una sedia, ne ha bloccato la caduta, avvertendo, però, una fitta dolente alla spalla sinistra. 2.9.   Chiamata ora a pronunciarsi, questa Corte rileva che, in una sentenza 8C_407/2013 dell’8 novembre 2013, il Tribunale federale ha trattato una fattispecie analoga a quella sub judice . In quel caso, si trattava di un assicurato che ha lamentato un trauma distorsivo nel tentativo di appoggiare sulla sua spalla destra un rotolo del peso di 22-30 kg, il quale gli è però scivolato di mano “spostando” la spalla di lato e all’indietro. In tal modo, l’assicurato ha riportato la rottura del tendine del sovraspinato con lesione parziale del capo lungo del bicipite. Nella pronunzia succitata - dopo aver constatato che le parti erano concordi nel ritenere che l’evento in questione non configurava un infortunio ex art. 4 LPGA (consid. 2.1: “ Die Parteien sind sich darüber einig, dass das Ereignis vom 13. Oktober 2011 nicht als Unfall zu qualifizieren ist.“; in questo senso, si veda la casistica riportata nella STFA U 44/06 del 23 maggio 2006 consid. 2.2) -, l’Alta Corte ha ammesso l’intervento di un fattore esterno ai sensi della sua giurisprudenza, osservando che nel repentino “spostamento” della spalla di lato e all’indietro originato dallo scivolamento di mano del rotolo, è ravvisabile un evento assimilabile a infortunio, oggettivamente constatabile e percettibile, che prende origine esternamente al corpo (consid. 3.3.2: „ Ein in den Bewegungsablauf hineinspielendes äusseres Moment und damit ein ausserhalb des Körpers liegendes, objektiv feststellbares, sinnfälliges, unfallähnliches Ereignis ist hier jedoch durch das plötzliche "Verreissen" der Schulter seitlich/nach hinten aufgrund des Entgleitens der Folie zu bejahen. Es liegt ein äusserer Faktor vor, weshalb die Vorinstanz zu Recht die grundsätzliche Leistungspflicht der Beschwerdeführerin aufgrund einer unfallähnlichen Körperschädigung gemäss Art. 9 Abs. 2 UVV bejahte.“) (si veda pure la STCA 35.2015.25 del 25 agosto 2014 consid. 2.7., cresciuta incontestata in giudicato, in cui questa Corte ha negato il carattere straordinario del fattore esterno, trattandosi di un assicurato che aveva lamentato uno strappo alla spalla sinistra nel tentativo di trattenere un rotolo di carta, alto 1.2 metri e pesante circa 30 kg, che stava improvvisamente per cadere a terra). Tutto ben considerato, il TCA ritiene che le medesime conclusioni debbano valere anche nella presente fattispecie. In esito a quanto precede, occorre dunque concludere all’assenza del carattere straordinario del fattore esterno e, dunque, all’inesistenza di un infortunio ex art. 4 LPGA. 2.10.   Resta, quindi, da stabilire se il caso debba eventualmente essere assunto dall’assicuratore contro gli infortuni in base all’art. 6 cpv. 2 LAINF. Dagli atti emerge che l’assicurato ha subito la rottura della cuffia dei rotatori. Trattasi di una lesione che ricade sotto la lett. f dell’art. 6 cpv. 2 LAINF, aspetto che non è oggetto di contestazione. In concreto, però, l’assicuratore convenuto ha sostenuto che l’art. 6 cpv. 2 LAINF non troverebbe applicazione - ed ha quindi negato l’erogazione delle prestazioni assicurative – per il motivo che “ la lesione corporale è dovuta prevalentemente all’usura o alla malattia ” (doc. 56, pag. 8). In particolare, l’istituto assicuratore ha fondato tale conclusione basandosi sui rapporti del proprio medico di fiducia. Il dr. med. __________ - specialista FMH in chirurgia -, nella nota dell’11 marzo 2019 ha indicato che la lesione corporale diagnosticata, “ artrosi acromion claveare, rottura tendine sovraspinato con retrazione dell’inserzione ” era da ricondurre in misura preponderante prevalentemente a usura o malattia e, in concreto, “ fa pensare ad una netta preesistenza, inoltre soprattutto la dinamica riferito non è compatibile con la rottura ” (doc. 16). Dal rapporto del dr. __________ di data 27 marzo 2019 risulta che: " (…) il paziente ha subito un evento traumatico che giustifica la presenza di una rottura del sovraspinato. Le caratteristiche anche radiologiche ala risonanza magnetica fanno presupporre che la rottura è avvenuta per il trauma. Non vi è alcuna degenerazione, lo spazio sottoacromiale è solo lievemente diminuito non è un grande effetto di impingement.” (doc. 19) Nel rapporto del 16 maggio 2019 il dr. med. __________ ha aggiunto che: " Da una parte esistono le rotture che avvengono per un motivo degenerativo, determinato soprattutto dall’importante ingrandimento con tumefazione che caratterizza un’artrosi acromion clavicolare con un effetto di impronta sull’inserzione del sovraspinato ed una usura progressiva e continua. In questi casi l’effetto di impronta dell’acromion clavicolare risulterebbe evidente alla risonanza magnetica, nello specifico in quella del paziente non è il caso. Quindi questa alterazione di tipo degenerativo riguardando l’acromion clavicolare, risultando altresì asintomatica, non è assolutamente in relazione alla patologia presentata dal paziente. Punto fondamentale della questione risulta il fatto che se un’alterazione degenerativa porta ad una rottura del tendine sovraspinato o relativa retrazione, questo avviene in modo progressivo nel tempo e progressivamente ci si ritrova un ventre muscolare del sovraspinato (tendine interessato dalla rottura) diminuir di volume e andare incontro ad una degenerazione di tipo grassa, per il non utilizzo. Nel caso specifico del paziente il ventre muscolare è ben mantenuto, mantiene ancora un buon trofismo e non vi è alcuna regressione artrofica. Questo fa pensare che vi sia stato un evento esterno improvviso che ha determinato l’interruzione delle fibre del sovraspinato ma non è un evento degenerativo evolutivo. Questi dati, associati alla valutazione anamnestica, mi portano a pensare che vi sia una netta predominanza dell’evento infortunistico piuttosto che considerarlo degenerativo.” (doc. 26, pag. 1-2) Invitato a prendere posizione sui rapporti del dr. med. __________, il dr. med. __________, nell’attesa dell’esito della visita ispettiva, ha confermato la propria precedente valutazione, ritenendo che “ l’evento come tale non sembra compatibile con la rottura ” (doc. 28). In data 17 settembre 2019, il dr. med. __________ ha nuovamente confermato che, a suo avviso, la lesione corporale diagnosticata è da ricondurre in misura preponderante prevalentemente a usura o malattia (doc. 38). Invitato ad esprimersi a seguito dell’opposizione interposta dal ricorrente avverso la decisione formale del 24 settembre 2019 (con la quale l’amministrazione ha negato il diritto alle prestazioni assicurative), in data 23 dicembre 2019 il dr. med. __________ ha osservato che: " (…) è opportuno ricordare quelle che sono le linee guida della Società Europea di medicina della spalla e della Società Europea di medicina legale alla quale aderisce anche la Svizzera. Indipendentemente, infatti, dal sistema di tabellazione di ogni paese, esiste una refertazione di tipo anatomo-patologico sulla tipologia di lesioni che ben distingue le lesioni acute da quelle degenerative e su questa base e solo su questa base ci si può orientare nella valutazione.” Dopo aver considerato che la lesione della cuffia dei rotatori è una patologia con riscontro assai comune ed è, per tale motivo, stata ampiamente ed esaurientemente studiata, il medico fiduciario ha precisato che: " Vi è un'associazione altamente significativa tra la presenza di artrosi acromion-claveare e la rottura della cuffia dei rotatori. Nel caso in esame, era stata già evidenziata alla RM una artrosi acromion-claveare e una diminuzione dello spazio subacromiale. Tali dati appaiono estremamente probatori, anche perché proprio all'atto chirurgico del caso in esame, viene descritta la pratica dell'acromion-plastica apposta perché vi è un restringimento di questo spazio, altrimenti non avrebbe avuto alcun senso effettuarla. Tra l'altro non è neanche vero che non si siano riscontrate alterazioni di tipo tendinosico, in quanto già visibili alla RM e tra l'altro confermate proprio dal dr. med. __________ nel débridement dei due capi del sovraspinato e dell'infraspinato, dove egli stesso reperta tale lesione, affermando: "(…) sono parzialmente tendinosici i tendini (…)”. (…). Va altresì detto che la rottura avviene parzialmente nel tempo, come giustamente fa osservare il dr. med. __________, ma tale rottura è molto spesso esente da dolore, tranne quando vi sia una rottura completa come ultimo atto di una preesistente artrosi acromion-claveare. Quando questo avviene con un traumatismo violento, in genere il dolore è elevato e si ha subito un'impotenza funzionale. Per quanto riguarda, quindi, la degenerazione del sovraspinato, va anche detto che una prova della patologia cronica viene certamente data da un infarcimento grasso del muscolo il quale però si verifica dopo molti mesi se non addirittura qualche anno dalla rottura e non in breve tempo. (…). Nel caso in esame, la degenerazione dei tendini della cuffia come già detto è indubbiamente presente. Circa lo spazio acromion-claveare di 7 mm vi sono state molte argomentazioni riguardo alla misurazione di tale spazio, se questo potesse avvenire in condizioni di normalità oppure se si evidenziava una misurazione fatta con l'arto in elevazione. La RM viene fatta in posizione generalmente supina e quindi sono visibili soltanto gli effetti dell'impingement senza di fatto provocarlo, infatti nelle sonografie funzionali fatte esclusivamente per motivi medico-legali si nota la alterazione della spalla in elevazione, quindi il contatto con evidenza della zona critica sopraccitata. Appare invece verosimile, che la rottura della cuffia dei rotatori si sia verificata antecedentemente all'evento, mentre invece la dolenzia riportata a livello dell'acromion-claveare può essere attribuita proprio alla riattivazione di un'artrosi acromion-claveare preesistente anche perché dalla stessa RM peraltro effettuata a poca distanza dall'evento, non vi è la presenza neanche minima di un versa-mento articolare, magari ematico, che si sarebbe dovuto rilevare se la alterazione della cuffia fosse stata repentina. Se infatti guardiamo la differenza tra l'acuto e il cronico, nel cronico lo slaminamento avviene lentamente nel tempo, nell'acuto invece vi è sempre un versamento articolare per quanto minimo, il quale permane per alcune settimane ed è la riprova effettiva della lesione di tipo acuto. Questo, non viene assolutamente citato nella RM né viene descritto durante l'intervento. Nel caso in esame, la presenza di un'artrosi acromion-claveare, l'assenza di versamento articolare conseguente alla rottura dei ventri muscolari, che avrebbe dovuto essere presente visto che lo stato di sanguificazione dei tendini, che, secondo il dr. med. __________ era adeguata, la riduzione dello spazio acromion-claveare, la tendinosi comunque visualizzata proprio dal dr. med. __________ dei capi dei tendini del sovraspinato e dell'infraspinato durante l'intervento, depongono per una conseguenza di una alterazione cronica. Concludendo in generale, si fa presente anche che molto spesso si effettuano degli apprezzamenti dettagliati e non si effettua la visita medica non perché il medico non abbia voglia o tempo di farla, ma semplicemente perché nessuno disquisisce sulla lesione e sul livello di articolarità limitato che ci possa essere, bensì la documentazione dei fatti in tempo reale e gli accertamenti strumentali valgono molto di più di una semplice visita la quale non può fare altro che determinare gli archi di movimento e la funzionalità dell'articolazione lesa. Invece, per esempio, quando si deve giudicare la capacità lavorativa dell'assicurato o per esempio la valutazione della IMI in quel caso si fa spesso una visita ___________ che si effettua a conclusione dell'iter diagnostico e terapeutico. Non siamo quindi qui in presenza di una valutazione clinica a cui consegue una terapia, bensì si tratta di una valutazione di uno stato degenerativo dovuto prevalentemente dall'usura nel tempo.” (doc. 52, pag. 4-6). 2.11.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2.12.   È alla luce di quanto in precedenza esposto (cfr. consid. 2.10.) che questa Corte non può confermare la decisione dell’amministrazione che ha negato il diritto alle prestazioni dell’assicurato sulla base del fatto che la lesione corporale diagnosticata – rientrante tra quelle esaustivamente enumerate dall’art. 6 cpv. 2 LAINF, in particolare lett. g – sarebbe dovuta prevalentemente all’usura o alla malattia. In effetti, su questo aspetto, agli atti figurano valutazioni di medici specialisti tra loro contraddittorie, che non consentono a questo Tribunale di decidere, con tranquillità, in un senso, oppure nell’altro (per un caso analogo cfr. STF 8C_169/2019 del 10 marzo 2020, consid. 5.4-5.5). I referti del dr. med. __________ appaiono, infatti, atti a generare dubbi più che lievi circa la correttezza della valutazione del medico fiduciario. In simili casi, la giurisprudenza federale prevede che la vertenza non può essere decisa basandosi sull’uno o sull’altro dei pareri a disposizione ma che occorre ordinare una perizia ad opera di un medico indipendente secondo la procedura di cui all’art. 44 LPGA oppure una perizia giudiziaria (cfr. STF 8C_456/2010 del 19 aprile 2011 consid. 3; in questo senso, si veda pure la STF 8C_943/2010 del 9 novembre 2011, consid. 3.2.). 2.13.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In una recente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Nella presente fattispecie, l’CO 1 ha fondato la decisione su opposizione impugnata esclusivamente sul parere del proprio medico fiduciario. In un caso del genere, per costante prassi, il TCA, anziché ordinare esso stesso una perizia giudiziaria, rinvia gli atti all’amministrazione affinché disponga una perizia esterna ai sensi dell’art. 44 LPGA (cfr., in questo senso, STF 8C_757/2014 del 16 gennaio 2015 consid. 3.2., STCA 35.2014.103 dell’11 marzo 2015 consid. 2.9., STCA 35.2014.96 del 25 febbraio 2015 consid. 2.9., STCA 35.2014.47 del 2 febbraio 2015 consid. 2.8., STCA 35.2014.66 del 22 dicembre 2014 consid. 2.9 e 35.2014.50 del 10 novembre 2014 consid. 2.13; D. Cattaneo "Les erreurs les plus fréquentes des expertises medicales dans les assurances sociales" in CGRSS n. 50 – 2014 pag. 137 seg. n. 15 pag. 140). Per le ragioni esposte al considerando 2.10., si giustifica l’annullamento della decisione su opposizione impugnata. L’istituto assicuratore resistente, a cui gli atti vengono retrocessi, dovrà disporre un approfondimento peritale esterno (art. 44 LPGA) volto a definire se i disturbi interessanti la spalla sinistra sono dovuti prevalentemente all’usura o alla malattia, oppure no. Esperiti questi accertamenti medici, l’amministrazione si pronuncerà nuovamente sul diritto alle prestazioni dell’assicurato, sia dal punto di vista materiale, che temporale. 2.14.   Visto l’esito del ricorso (il rinvio con esito aperto equivale a piena vittoria, cfr., da ultimo, la STF 8C_859/2018 del 26 novembre 2018 consid. 5 con rinvio a DTF 137 V 210 consid. 7.1 pag. 271 e riferimento), l’CO 1 verserà al ricorrente l’importo fr. 2'500.- (IVA inclusa) a titolo d’indennità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