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 vom 21. Dezember 2020</w:t>
      </w:r>
    </w:p>
    <w:p>
      <w:r>
        <w:t>TI Tribunale d'appello, 2020-12-21, IT</w:t>
      </w:r>
    </w:p>
    <w:p>
      <w:r>
        <w:rPr>
          <w:b/>
        </w:rPr>
        <w:t xml:space="preserve">Quelle: </w:t>
      </w:r>
      <w:r>
        <w:t>https://mcp.opencaselaw.ch/entscheid/ti_gerichte_35.2020.1</w:t>
      </w:r>
    </w:p>
    <w:p>
      <w:r>
        <w:t>FR: TI_GERICHTE 35.2020.1 du 21 décembre 2020</w:t>
      </w:r>
    </w:p>
    <w:p>
      <w:r>
        <w:t>IT: TI_GERICHTE 35.2020.1 del 21 dicembre 2020</w:t>
      </w:r>
    </w:p>
    <w:p>
      <w:pPr>
        <w:pStyle w:val="Heading2"/>
      </w:pPr>
      <w:r>
        <w:t>Regeste</w:t>
      </w:r>
    </w:p>
    <w:p>
      <w:r>
        <w:t>Discussa la questione relativa alla stabilizzazione dello stato di salute infortunistico (con estinzione diritto a prestazioni di corta durata) e quella riguardante il diritto a una rendita d'invalidità</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2.3.2.   Con la decisione su opposizione impugnata, facendo capo alle certificazioni agli atti del medico curante specialista dell’assicurato e sentito il parere del proprio medico __________, l’CO 1 ha dichiarato che, a contare dal luglio 2019, non vi erano più provvedimenti terapeutici suscettibili di migliorare notevolmente le condizioni di salute infortunistiche dell’insorgente e, pertanto, ha posto termine alle prestazioni di corta durata. In quella sede, esso ha inoltre precisato che avrebbe esaminato se il peggioramento annunciato dal dott. __________ con rapporto dell’8 novembre 2019 era costitutivo di una ricaduta (o di postumi tardivi) e, perciò, fondare il diritto a (nuove) prestazioni di corta durata (cfr. doc. 353). Dalle carte processuali si evince, segnatamente, che a margine della consultazione del 27 marzo 2019 – a distanza di quattro mesi circa dall’intervento di artroscopia diagnostica e adesiolisi sottoacromiale della spalla sinistra (13 novembre 2018) -, il dott. __________, Caposervizio sostituto presso l’Unità di ortopedia e traumatologia dell’Ospedale __________ di __________, ha refertato un’assenza di miglioramento delle ampiezze articolari, ridotte probabilmente dalla presenza di algie. In proposito, egli ha rilevato che “nonostante che la scopia diagnostica abbia mostrato un tendine regolarmente inserito con una buona vascolarizzazione, non riesco a darmi una spiegazione di questi dolori che il paziente presenta. Sono dolori che dal punto di vista clinico possono essere dovuti ad uno stato infiammatorio del sovraspinato. Ho prescritto, discutendo con il nostro radiologo, Dr. __________, che ci legge in copia, di effettuare una power doppler che permetterebbe, nel limite del possibile, di valutare un eventuale stato infiammatorio della cuffia dei rotatori e in particolare del sovraspinato.” (doc. 279, p. 2). L’accertamento in questione è stato effettuato l’8 aprile 2019 (doc. 283). In data 17 aprile 2019 l’insorgente si è tenuta una nuova visita di controllo presso il dott. __________. In quell’occasione, preso atto dell’esito della power doppler, il medico curante specialista ha ribadito che “… nonostante che l’artroscopia diagnostica abbia mostrato un tendine regolarmente inserito con una buona vascolarizzazione e che oltre tutto questa sonografia non mostra segni d’infiammazione del tendine, non riesco a dare una spiegazione a questi dolori cronici con questa ridotta mobilità articolare. Ho spiegato nei dettagli al paziente che dietro questa ridotta mobilità articolare non vi è alcuna patologia di rilievo . Bisogna assolutamente continuare con le sedute di fisioterapia.” (doc. 290 – il corsivo è del redattore). Il 9 maggio 2019 ha avuto luogo la visita medica di chiusura a cura del dott. __________, spec. FMH in chirurgia ortopedica e traumatologia. Per quanto qui d’interesse, il medico __________ ha evidenziato che, a quel momento, non erano stati “… proposti ulteriori trattamenti in grado di migliorare in modo apprezzabile la situazione di questo assicurato. Si ritiene opportuno che l’assicurato prosegua con esercizi di mantenimento autogestiti a domicilio ed eventualmente con 1-2 cicli di fisioterapia annua a scopo di mantenimento per i primi 2 anni e da rivalutare in seguito alla risposta clinica.”. Egli ha quindi proceduto a valutare l’esigibilità lavorativa (doc. 297, p. 5). In occasione della consultazione del 12 agosto 2019, il dott. Marbach ha riferito che, secondo il paziente, lo stato della spalla sinistra era nel frattempo peggiorato in ragione della sospensione delle sedute di fisioterapia. Egli ha pertanto postulato che l’amministrazione concedesse il proprio benestare per ulteriori 18 cicli di fisioterapia “esclusivamente a scopo profilattico”. Il curante specialista ha peraltro confermato, una volta ancora, di non avere “… alcuna spiegazione a questi dolori che il paziente presenta alla spalla di destra (recte: sinistra , n.d.r) con questa ridotta mobilità articolare . Ci siamo concordati per il momento di non più vederci …” (doc. 326, p. 2 – il corsivo è del redattore). Alla luce di quanto precede, la decisione dell’amministrazione di ritenere che, a contare dal mese di luglio 2019, non vi fossero più provvedimenti terapeutici in grado di migliorare notevolmente lo stato di salute infortunistico del ricorrente, non presta il fianco a critiche di sorta. La circostanza che RI 1 denunciasse ancora disturbi alla spalla sinistra, rispettivamente necessitasse di misure fisioterapiche volte a evitare un loro aggravamento (“esclusivamente a scopo profilattico”, secondo il dott. __________), è irrilevante. Decisivo ai fini del giudizio è soltanto che, secondo il parere unanime del medico curante specialista e di quello __________ dell’CO 1, a quel momento lo stato della spalla sinistra non poteva più essere sensibilmente migliorato grazie a ulteriori terapie. Questo Tribunale non ignora che, a margine del consulto avvenuto il 7 novembre 2019, lo stesso dott. __________ ha fatto stato di un “peggioramento della mobilità articolare” imputabile, a suo dire, a una probabile recrudescenza della capsulite retrattile (in questo senso, si veda pure il suo rapporto del 28 gennaio 2020 – doc. B 3), pur precisando di non essere in grado di “… dare una spiegazione a questi dolori con ridotta mobilità articolare.” (doc. 352). Occorre tuttavia considerare come, nel prosieguo, gli accertamenti disposti non abbiamo consentito d’individuare l’origine del preteso aggravamento, in particolare di confermare la presenza della supposta capsulite retrattile, né tanto meno di formulare delle proposte terapeutiche tali da rimettere in discussione la chiusura del caso a decorrere dal 1° luglio 2019. Il dott. __________, specialista in medicina del lavoro, consultato dall’assicurato il 19 giugno 2020, ha interpretato il quadro clinico quale disturbo misto , “da una parte i medici coinvolti hanno rilevato uno stato di artropatia o capsulite retrattile. Dall’altra parte i movimenti attivi sono caratterizzati pure da un risparmio e da una anticipazione antalgica notevole. Mi sembra che l’inattività persistente da anni abbia contribuito a un disturbo dell’immagine interna del corpo (Körperschema-Störung).”. Per quanto concerne l’ulteriore procedere terapeutico, il medico in questione ha proposto di valutare la possibilità d’introdurre un’ergoterapia per aumentare il raggio dei movimenti attivi (doc. IX 5). Con referto del 26 giugno 2020, riferendosi a quanto attestato dal dott. __________, il dott. __________ ha dichiarato di continuare “… a non capire lo stato clinico che il paziente presenta alla spalla di sinistra in quanto un’ennesima immagine, questa volta un’artro risonanza magnetica (quella eseguita il 24 giugno 2020 – doc. IX 4, n.d.r.), ha mostrato che la cuffia dei rotatori è nella norma e che non vi sono segni radiologici di una capsulite retrattile. Quindi dal mio punto di vista qualsiasi intervento chirurgico non è proponibile per migliorare lo stato clinico del paziente . Secondo il Dr. __________, questa diminuzione dei movimenti attivi può essere dovuta ad un risparmio e a un’anticipazione antalgica notevole e che questa inattività persistente da anni possa aver contribuito ad un disturbo dell’immagine all’interno del corpo. Onestamente da parte mia non ho più proposte terapeutiche per migliorare lo stato clinico del paziente . Lascio decidere a voi se si vuole intraprendere ancora le sedute di ergoterapia come consigliato dal Dr. __________.” (doc. XIX 1 – il corsivo è del redattore). Dal rapporto di uscita 8 settembre 2020 della Clinica di riabilitazione di __________, dove l’assicurato è rimasto degente dal 29 luglio al 19 agosto 2020, si evince che l’entità delle limitazioni fisiche denunciate dal ricorrente non correlavano a sufficienza con i reperti patologici oggettivati, a fronte di una refertata importante estensione della sintomatologia. Secondo gli specialisti, da ulteriori cure mediche, in primo luogo da provvedimenti operatori (quale quello suggerito dalla dott.ssa __________ nella sua certificazione del 2 settembre 2020 – doc. XVIII 1), non vi era più da attendersi miglioramenti dello stato della spalla sinistra . Anzi, in presenza di un’estensione dei sintomi, un approccio chirurgico si sarebbe potuto persino rivelare controproducente (doc. XXV 1 – il corsivo è del redattore). Infine, dal referto relativo alla visita di controllo 30 settembre 2020 del dott. __________ si apprende che, a quel momento, l’insorgente presentava un peggioramento della mobilità articolare e, al riguardo, ha osservato di avere “… già scritto a più riprese che tutti gli esami che sono stati effettuati per il paziente sono risultati nella norma e ciò è nuovamente confermato dall’ultima RM che mostra una cuffia dei rotatori integra senza un minimo segno di infiammazione. Da parte mia non ho veramente nessuna proposta dal punto di vista chirurgico per migliorare la situazione . (…). Segnalo che ho ricevuto la lettera della Dottoressa __________ (con copia a voi) che mi invita ad effettuare un reintervento alla spalla di sinistra di ri-sutura del sovraspinato con adesiolisi delle aderenze. Secondo la mia opinione attuale, qualsiasi intervento è controindicato anche perché non c’è nessuna lesione del tendine sovraspinato e soprattutto non vi è nessuna tendinopatia in corrispondenza della cuffia dei rotatori .” (doc. XXV 2 – il corsivo è del redattore). Non può neppure essere dimenticato che il peggioramento annunciato nel mese di novembre 2019 è stato assunto - a torto o a ragione (aspetto che non è oggetto della presente procedura) -, dall’istituto assicuratore convenuto a titolo di ricaduta ex art. 11 OAINF e, di conseguenza, l’assicurato rimesso al beneficio delle prestazioni di corta durata (cfr. lo scritto 20 luglio 2020 dell’CO 1 [doc. XI], dal quale emerge che a RI 1 sono state corrisposte le indennità giornaliere a partire dal 1° aprile 2020, ritenuto che, durante il periodo 1° novembre 2019 – 31 marzo 2020, egli ha beneficiato di quelle dell’assicurazione per l’invalidità; si veda quanto prevede a quest’ultimo riguardo l’art. 16 cpv. 3 LAINF). Nemmeno i referti 6 e 12 dicembre 2020 della dott.ssa __________, spec. FMH in medicina interna (doc. XXXI 1 e doc. XXXI 2), appaiono atti a giustificare una soluzione diversa. In quei documenti, il medico curante ha in effetti refertato la persistenza di un quadro clinico ampiamente conosciuto, caratterizzato da dolori e da una limitata mobilità della spalla sinistra, consigliando di proseguire con una terapia medicamentosa antidolorifica e con la fisioterapia. Circa l’indicazione a sottoporre l’insorgente a un nuovo intervento chirurgico alla spalla sinistra, si sono già chiaramente pronunciati sia il dott. __________ che i medici della Clinica di __________ (doc. XXV 1 e doc. XXV 2). Le certificazioni in questione andranno semmai prese in considerazione nel contesto della ricaduta assunta dall’CO 1. In conclusione, attentamente vagliato l’insieme della documentazione medica agli atti, non ritiene dimostrato, con il grado di verosimiglianza richiesto dalla giurisprudenza federale, che al momento in cui l’amministrazione ha posto termine alle prestazioni di corta durata, vi fossero ancora delle misure terapeutiche suscettibili di migliorare sensibilmente le condizioni di salute infortunistiche dell’insorgente. Stante ciò, questa Corte non può dunque che confermare la decisione su opposizione impugnata, perlomeno nella misura in cui sancisce che il 1° luglio 2017, lo stato di salute infortunistico era stabilizzato ai sensi dell’art. 19 cpv. 1 LAINF. Data la stabilizzazione delle condizioni di salute infortunistiche, l’assicuratore LAINF convenuto era legittimato a porre fine alle prestazioni di corta durata (cura medica + indennità giornaliera) e a valutare il diritto a quelle di lunga durata, in particolare alla rendita d’invalidità.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questa Corte constata come l'esigibilità lavorativa - aspetto in merito al quale l'assicuratore convenuto ha fatto capo alla valutazione espressa il 9 maggio 2019 dal suo medico __________, il chirurgo ortopedico dott. __________ (cfr. doc. 297, p. 6) -, non sia contestata dal ricorrente (cfr. doc. I). È pertanto da ritenere dimostrato, perlomeno con il grado della verosimiglianza preponderante, che RI 1, da una parte, è definitivamente impedito nell’esercizio della sua originaria professione di ferraiolo, ma che, d’altra parte, egli è in grado di svolgere , a tempo pieno e con un rendimento completo, un'attività lavorativa compatibile con le limitazioni derivanti dal danno alla salute infortunistico interessante la spalla sinistra. 2.4.4. Si tratta dunque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2019 , essendo stato ritenuto lo stato di salute stabilizzato a partire dal 1° luglio 2019. 2.4.5.   Per quanto concerne il reddito da valido , secondo l’assicuratore infortuni resistente, senza il danno alla salute infortunistico, RI 1nel 2019, avrebbe realizzato un guadagno annuo lordo di fr. 65’780, calcolato in base al CCL dell’edilizia, non essendo disponibili dati salariali più concreti (doc. 353, p. 5 e doc. III, p. 3). Con la propria impugnativa, l’insorgente sostiene invece che, in ossequio alla giurisprudenza, il reddito senza invalidità andrebbe determinato in applicazione dei dati salariali statistici e ammonterebbe, a suo dire, a fr. 67'743, lo stesso importo del reddito da invalido (doc. I, p. 5). Chiamato a pronunciarsi in proposito, il TCA ritiene di potersi esimere dal decidere se il reddito da valido vada stabilito in base ai salari minimi previsti dal CCL oppure a quelli statistici, in quanto, anche in quest’ultima ipotesi - più favorevole all’assicurato - l’esito non può essere quello auspicato con il ricorso, così come verrà meglio dimostrato qui di seguito. Applicando dunque la tabella RSS TA1 2016, ramo 41-43 (" costruzioni "), livello di qualifica 1 ( “ Attività semplici di tipo fisico o manuale ”) , uomini, riportato su 41.4 ore e aggiornato al 2019 (in base alla tabella T1.1.15 - Indice dei salari nominali, uomini, 2016 - 2019), si ottiene un valore di fr. 69'635.76 (che è peraltro superiore a quello che postula il ricorrente). 2.4.6.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quell’occasione,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Il Tribunale federale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2.4.7.   In concreto, dalle tavole processuali si evince che l’CO 1 ha determinato in fr. 67’743 il reddito da invalido, applicando la tabella RSS TA1 2016, media totale, livello di qualifica 1, uomini, riportato su 41.7 ore e aggiornato al 2019. Su tale valore l’CO 1 non ha applicato alcuna riduzione, né a titolo di gap salariale né a titolo di deduzione sociale ex DTF 126 V 75 (doc. 353, p. 5). L’RA 1 censura tale valutazione soltanto nella misura in cui rimprovera all’amministrazione di non aver operato alcuna deduzione sociale. A suo avviso, a tale titolo andrebbe invece applicata una riduzione di almeno il 15%, in ragione delle limitazioni legate al danno alla salute infortunistico e del fatto che l’assicurato beneficia di permesso di dimora (permesso di tipo B - cfr. doc. I, p. 6). Innanzitutto, è utile precisare che, nel caso di specie, l’applicazione di una deduzione a titolo di gap salariale è a priori esclusa, posto che il reddito da valido è stato determinato in base ai salari statistici (quindi in base a dei dati nazionali ), così come lo è stato il reddito da invalido. D’altro canto, limitando il proprio esame dell’aspetto litigioso, questa Corte rileva che, in ossequio alla giurisprudenza federale,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Secondo la più recente giurisprudenza, una riduzione sociale per le limitazioni dipendenti dal danno alla salute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In concreto, dalla documentazione agli atti emerge che, nonostante il danno all’arto superiore sinistro, RI 1 sarebbe ancora in grado di esercitare, senza limiti di tempo o di rendimento, un’attività lavorativa leggera, in cui possa evitare, in sostanza, di trasportare/sollevare pesi superiori ai 5-10 kg e di svolgere mansioni sopra il livello delle spalle. Secondo questo Tribunale, tenuto conto dell’esigibilità appena descritta, occorre ammettere che il ricorrente beneficia di un ventaglio di attività sostitutive esigibili ancora sufficientemente ampio, motivo per il quale non può essere pretesa l’applicazione di una decurtazione (in questo senso, si veda, ad esempio, la STF 8C_122/2019 del 10 settembre 2019 consid. 4.3.1.4, concernente un assicurato i cui limiti funzionali riguardavano i movimenti ripetitivi del gomito destro e il trasporto di pesi superiori ai 7 kg, precisato che quest’ultimo costituiva un valore massimo nel senso che il trasporto di pesi, anche di minore entità, doveva alternarsi a periodi di riposo per il braccio destro oppure la succitata STF 8C_174/2019 consid. 5.2.2, riguardante un’assicurata in grado d’impiegare il suo arto superiore sinistro soltanto in attività leggere e non ripetitive).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Per quanto concerne la pretesa decurtazione in ragione del tipo di permesso di cui beneficia l’assicurato (permesso di tipo B), va segnalato come, in più occasioni, l’Alta Corte federale abbia negato che tale circostanza giustifichi una riduzione dei salari medi (in questo senso, si veda, ad esempio, la STF 8C_314/2019 del 10 settembre 2019 consid. 6.2 e la STF 8C_773/2017 del 30 luglio 2018 consid. 8.6). Il reddito da invalido si eleva dunque a fr. 67’743 . 2.4.8.   Ora, confrontando i fr. 67'743 al reddito che l’insorgente avrebbe potuto conseguire senza il danno alla salute, e cioè fr. 69'635.76 (cfr. supra , consid. 2.4.5.), risulta che la sua perdita di guadagno ammonta al 2.71%, arrotondata al 3% , insufficiente per fondare il diritto a una rendita d’invalidità a contare dal 1° luglio 2019 (cfr. art. 18 cpv. 1 LAINF). Visto che con la decisione su opposizione impugnata all’assicurato è stato negato il diritto a una rendita di invalidità, essa deve essere confermata.</w:t>
      </w:r>
    </w:p>
    <w:p>
      <w:r>
        <w:rPr>
          <w:b/>
        </w:rPr>
        <w:t>E. 30</w:t>
      </w:r>
    </w:p>
    <w:p>
      <w:r>
        <w:t>giugno 1994 succitata).</w:t>
      </w:r>
    </w:p>
    <w:p>
      <w:r>
        <w:t>Specifica dell'assicurazione obbligatoria contro gli infortuni è la norma di cui all'art. 28 cpv. 4 OAINF:</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2.4.3.   Nel caso di specie, questa Corte constata come l'esigibilità lavorativa - aspetto in merito al quale l'assicuratore convenuto ha fatto capo alla valutazione espressa il 9 maggio 2019 dal suo medico __________, il chirurgo ortopedico dott. __________ (cfr. doc. 297, p. 6) -, non sia contestata dal ricorrente (cfr. doc. I).</w:t>
      </w:r>
    </w:p>
    <w:p>
      <w:r>
        <w:t>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w:t>
      </w:r>
    </w:p>
    <w:p>
      <w:r>
        <w:t>Questa giurisprudenza è stata confermata ancora dal TF, segnatamente nella DTF 141 V 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