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35.2019.93 vom 27. April 2020</w:t>
      </w:r>
    </w:p>
    <w:p>
      <w:r>
        <w:t>TI Tribunale d'appello, 2020-04-27, IT</w:t>
      </w:r>
    </w:p>
    <w:p>
      <w:r>
        <w:rPr>
          <w:b/>
        </w:rPr>
        <w:t xml:space="preserve">Quelle: </w:t>
      </w:r>
      <w:r>
        <w:t>https://mcp.opencaselaw.ch/entscheid/ti_gerichte_35.2019.93</w:t>
      </w:r>
    </w:p>
    <w:p>
      <w:r>
        <w:t>FR: TI_GERICHTE 35.2019.93 du 27 avril 2020</w:t>
      </w:r>
    </w:p>
    <w:p>
      <w:r>
        <w:t>IT: TI_GERICHTE 35.2019.93 del 27 aprile 2020</w:t>
      </w:r>
    </w:p>
    <w:p>
      <w:pPr>
        <w:pStyle w:val="Heading2"/>
      </w:pPr>
      <w:r>
        <w:t>Regeste</w:t>
      </w:r>
    </w:p>
    <w:p>
      <w:r>
        <w:t>Discussa determinazione del grado dell'invalidità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danno alla salute fisica o psichica (fattore medico)</w:t>
      </w:r>
    </w:p>
    <w:p>
      <w:r>
        <w:rPr>
          <w:b/>
        </w:rPr>
        <w:t>E. 2</w:t>
      </w:r>
    </w:p>
    <w:p>
      <w:r>
        <w:t>la diminuzione della capacità di guadagno (fattore economico).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