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35.2019.92 vom 9. Juni 2020</w:t>
      </w:r>
    </w:p>
    <w:p>
      <w:r>
        <w:t>TI Tribunale d'appello, 2020-06-09, IT</w:t>
      </w:r>
    </w:p>
    <w:p>
      <w:r>
        <w:rPr>
          <w:b/>
        </w:rPr>
        <w:t xml:space="preserve">Quelle: </w:t>
      </w:r>
      <w:r>
        <w:t>https://mcp.opencaselaw.ch/entscheid/ti_gerichte_35.2019.92</w:t>
      </w:r>
    </w:p>
    <w:p>
      <w:r>
        <w:t>FR: TI_GERICHTE 35.2019.92 du 9 juin 2020</w:t>
      </w:r>
    </w:p>
    <w:p>
      <w:r>
        <w:t>IT: TI_GERICHTE 35.2019.92 del 9 giugno 2020</w:t>
      </w:r>
    </w:p>
    <w:p>
      <w:pPr>
        <w:pStyle w:val="Heading2"/>
      </w:pPr>
      <w:r>
        <w:t>Regeste</w:t>
      </w:r>
    </w:p>
    <w:p>
      <w:r>
        <w:t>Discussa l'entità della menomazione dell'integrità. Rinvio degli atti all'assicuratore per esecuzione di una perizia esterna, data l'esistenza di dubbi - perlomeno lievi - circa la fondatezza del parere del medico fiduciario</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nel merito 2.2.   L’oggetto litigioso è circoscritto all’entità della menomazione dell’integrità di cui è portatore l’assicurato. 2.3.   Secondo l'art. 24 cpv. 1 LAINF, l'assicurato ha diritto a un'equa indennità se, in seguito all'infortunio, accusa una menomazione importante e durevole all'integrità fisica o mentale.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   L'art. 36 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Commentaire de la loi sur l'assurance-accidents, Losanna 1992, p. 121). 2.5.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 ss. consid. 4b e dottrina ivi menzionata). 2.6.   L’INSAI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2.7.   Nel caso di specie, l’assicuratore LAINF resistente, sentito il parere del proprio medico __________, ha assegnato al ricorrente un’IMI del 15% (doc. 245). A margine della visita di controllo del 15 novembre 2018, il dott. __________, spec. in chirurgia ortopedica e traumatologia, ha da una parte confermato l’indennità del 10% già riconosciuta per il danno acquisito a livello del rachide lombare (cfr. doc. 227, p. 7: “… dovendo valutare un disturbo algico presente solo a riposo ed assente durante la marcia ed in ortostatismo e che permette all’assicurato di svolgere la sua professione al 100% senza limitazioni, considerando la tabella 7.2 Suva che in merito una frattura vertebrale identica, in un momento algico “moderato al movimento, raro o assente a riposo con una remissione buona e rapida (1-2 giorni)”, con una deviazione angolare tra i 10 e i 20°, una valutazione tra il 5 e il 10% e come già ribadito all’interno dell’apprezzamento della menomazione all’integrità del 27.12.2016, riteniamo sempre congruo un valore del 5%, tenendo inoltre presente che il dr. med. __________ non ha ritenuto opportuno prescrivere alcuna terapia farmacologica analgesica o antinfiammatoria su base programmatica per la questione dei disturbi. Per le stesse ragioni riteniamo giusta la valutazione del 5% come esiti di laminectomia e spondilodesiche prevedono un valore tra il 5 e il 15% ove da un lato riteniamo il riconoscimento dell’assenza di deficit neurologici residui e dall’altro abbiamo la sola emilaminectomia L1 a sinistra, quindi interessante una sola vertebra, accompagnata da disturbi minimi che non richiedono alcun trattamento farmacologico su base programmatica ma gestibili autonomamente dall’assicurato con n. 3 cicli di 9 sedute di FT annuali.”) e dall’altra ha valutato in un ulteriore 5% quello interessante il piede sinistro (doc. 227, p. 7: “Per quanto riguarda invece la persistenza del dolore in regione peri-malleolare interno a sinistra durante la marcia evidenziata dal dr. med. __________ nel suo rapporto medico del 30.08.2017, l’assicurato è stato valutato nuovamente il 15.11.2018 con visita medico __________, dove l’evidenza clinica è stata assolutamente negativa per importanti patologie alla tibio-tarsica e piede sinistro, con una caviglia sinistra assolutamente asciutta e stabile, palesandosi solo un dolore alla digitopressione a livello del seno del tarso superiormente, possibile espressione del “dismorfismo del versante laterale dell’astragalo, su esiti fratturativi”. emerso alla MRI della tibiotarsica sinistra del 19.10.2018, patologia allo stato attuale delle cose non di rilevante importanza, gestibile in maniera autonoma dall’assicurato, assolutamente non valevole di trattamento invasivo: per queste motivazioni viene recepita solo in parte la richiesta dell’avvocato RA 1 dell’aumento dell’IMI di un ulteriore 10% per la problematica in questo distretto anatomico in quanto persistendo un disturbo algico a livello della caviglia sinistra di tipo intermittente (al mattino diminuisce dopo pochi passi), facilmente gestibile autonomamente, che non ha mai limitato il signor RI 1 nell’attività lavorativa di riferimento, ci sembra congruo valutare una IMI del 5% in base alla tabella Suva 2.2 che prevede un’assegnazione IMI nei disturbi funzionali dell’articolazione subtalare; …”). Da parte sua, la rappresentante dell’assicurato ha prodotto alcuni rapporti del Prof. dott. __________, spec. FMH in chirurgia e traumatologia - i primi allestiti sulla base degli atti (cfr. doc. 238 e 248), l’ultimo frutto di una visita personale dell’assicurato che ha avuto luogo in data 10 agosto 2019 (doc. 257) -, il quale ha dichiarato che l’indennità per il danno a livello della colonna toraco-lombare ammonterebbe al 15%, mentre quella per la menomazione al piede sinistro si eleverebbe al 10%. Queste, in particolare, le considerazioni che sono state da lui espresse a margine del consulto dell’agosto 2019: " (…) Per la colonna toraco-lombare: persiste ancora una notevole sintomatologia soggettiva costituita da dolori notturni e alla levata, dolori che l’hanno costretto ad abbandonare la sua attività sportiva (vela, sci nautico, quest’ultimo limitato dall’impossibilità di caricare piede e colonna alzandosi dall’acqua) e a ricercare un sedile più confacente per la guida. La forte limitazione della flessione è dovuta alla spondilodesi chirurgica Th11-L4, una lunga spondilodesi con un irrigidimento totale dei segmenti maggiormente responsabili per la flessione. Ho già accennato nel mio rapporto del 03.04.2019 che le importanti limitazioni della mobilità dei due segmenti toracici caudali e nei tre lombari craniali portano a un sovraccarico discale e delle piccole articolazioni vertebrali nei segmenti vicini a quelli fissati. Vi è da aspettarsi obbligatoriamente l’insorgere con il tempo di una spondilartrosi e discartrosi L4-L5 e L5-S1 nonché eventuali ripercussioni spondilartrotiche nei segmenti prossimali a Th11 con insorgenza di discopatie. Ho citato le informazioni della __________ date ai pazienti che si sottopongono a “Spinal fusion” nella mia lettera del 03.04.2019, che confermano l’opinione di esperti sulla impedenza obbligata evolutiva di patologie artrotiche e dolorose nei segmenti vicini a quelli fissati. Mantengo pertanto la mia valutazione di una IMI del 15% per esiti funzionali e dolorosi presenti e futuri delle fratture multiple toraco-lombari assoggettate a un’estesa spondilodesi di ben 5 segmenti di movimento . Per quanto riguarda le lesioni del talo, del calcagno e dell’articolazione tibio-talare e talo-calcaneare sinistri faccio presente che nelle immagini del 2014 (TAC 5.7.2014) non si constatava ancora la presenta di cisti ossee che si osservarono poi alla RM del 2018. Si tratta dunque di cisti postraumatiche circondate da edema osseo sia al margine mediale sub condrale del talo prossimale sinistro che nel calcagno nella zona del sustentaculum tali. Sulla loro origine postraumatica non vi sono dubbi. Cito l’opinione di esperti podiatri sulla allegata letteratura di Riyan Carter et al: (…). Le cisti ossee testimoniano dell’impatto assiale importante al quale è stato sottoposto il piede sinistro, quando vi si associano fratture compressive di vertebre toraciche e lombari. La tibio-talare sinistra ha subito verosimilmente un danno cartilaginare nella sua parte mediale dovuto all’iperflessione subita, alla componente assiale del trauma e alla forte vagizzazione dovute alla compressione del paziente tra cruscotto e sedile al momento del trauma. La talo-calcaneare sinistra ha subito una sconnessione fratturaria che riguardava sia il talo distale che il calcagno prossimale nella zona dell’articolazione maggiore. Dalla disconnessione della superficie articolare calcaneare è esitata la cisti subcondrale calcaneare circondata nell’ultima RM da edema osseo. Questi danni strutturali, cartilaginari e concernenti la struttura ossea (edema osseo del talo e del calcagno) hanno il corrispondente clinico nell’abbandono dello sport, nei persistenti dolori pungenti alle manovre di varo-valgo nella subtalare sinistra, nell’impossibilità del mantenimento di una stazione monopodale sinistra, nella limitazione del tragitto di marcia (max un’ora, terreno solo facile). Mantengo pertanto la mia valutazione di un’IMI del 10%, assegnando ai due distretti coinvolti dal trauma assiale l’etichetta di una moderata panartrosi (tabella Suva 10-30%), tenendo conto solo minimamente del potenziale evolutivo verso un’artrosi tibio-talare e talo-calcaneare più grave .” (doc. 257, p. 3-4 – il corsivo è del redattore) Agli atti figurano le prese di posizione del dott. __________ riguardanti i rapporti elaborati in base degli atti dallo specialista consultato dall’assicurato, mediante le quali egli ha in sostanza ribadito il proprio parere, ossia che quest’ultimo è portatore di una menomazione dell’integrità del 15% (cfr. doc. 243 e doc. 251). Non risulta invece che il medico __________ appena citato si sia pronunciato a proposito della valutazione enunciata dal dott. Martinoli a margine della consultazione del 10 agosto 2019. 2.8.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Nella DTF 135 V 465, l’Alta Corte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2.9.   Nella concreta evenienza, questa Corte non può confermare la decisione su opposizione impugnata mediante la quale l’assicuratore resistente ha assegnato all’assicurato un’IMI del 15%. In effetti, in merito all’entità della menomazione dell’integrità di cui è portatore l’insorgente, agli atti figurano referti contraddittori – quelli del medico ____________ (menomazione dell’integrità complessiva del 15%) e quelli elaborati dal Prof. dott. __________ (25%) - che non consentono al TCA di decidere, con la necessaria tranquillità, in un senso oppure nell’altro. In simili casi, la giurisprudenza federale prevede che la vertenza non possa essere decisa basandosi sull’uno o sull’altro dei pareri a disposizione ma che occorre ordinare una perizia ad opera di un medico indipendente secondo la procedura di cui all’art. 44 LPGA oppure una perizia giudiziaria (cfr. DTF 135 V 465 e la STF 8C_247/2018 del 1° aprile 2019 consid. 6.2.2). Tutto ben considerato, dalla documentazione a disposizione emergono dunque elementi suscettibili di generare dei dubbi, perlomeno lievi, circa l’affidabilità della documentazione medica sulla quale l’istituto assicuratore ha fondato la propria decisione di riconoscere un’IMI del 15% (per un caso in cui la Corte federale ha annullato il giudizio cantonale ritenendo che, alla luce dei referti agli atti dei medici consultati dall’assicurato, alle considerazioni espresse dal medico fiduciario non poteva essere data “quella sufficiente concludenza, tale da escludere anche il minimo dubbio di una soluzione differente”, si veda la STF 8C_23/2019 del 6 agosto 2019 consid. 4.3). 2.10.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Nella presente fattispecie, il TCA ritiene che siano soddisfatti i presupposti per un rinvio degli atti all’amministrazione (cfr. STF 8C_59/2011 del 10 agosto 2011 e DTF 135 V 465), già per il fatto che essa ha fondato la decisione impugnata sul solo parere del medico ___________ (per un caso analogo, si veda la STF 8C_757/2014 del 16 gennaio 2015 consid. 3.2). P er le ragioni già esposte al considerando 2.9. , si giustifica pertanto l’annullamento della decisione su opposizione impugnata e il rinvio degli atti all’assicuratore resistente affinché disponga un approfondimento peritale esterno (art. 44 LPGA) volto a definire l’entità della menomazione dell’integrità di cui è portatore l’insorgente. Sulla scorta delle relative risultanze, l’CO 1 sarà poi chiamato a determinare di nuovo la relativa indennità.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